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5D322">
      <w:pPr>
        <w:jc w:val="center"/>
        <w:rPr>
          <w:rFonts w:hint="eastAsia" w:ascii="宋体" w:hAnsi="宋体"/>
          <w:b/>
          <w:color w:val="auto"/>
          <w:sz w:val="72"/>
          <w:highlight w:val="none"/>
        </w:rPr>
      </w:pPr>
      <w:bookmarkStart w:id="3" w:name="_GoBack"/>
      <w:r>
        <w:rPr>
          <w:rFonts w:hint="eastAsia" w:ascii="宋体" w:hAnsi="宋体"/>
          <w:b/>
          <w:color w:val="auto"/>
          <w:sz w:val="72"/>
          <w:highlight w:val="none"/>
        </w:rPr>
        <w:t>厦 门 市 大 宗 货 物</w:t>
      </w:r>
      <w:r>
        <w:rPr>
          <w:rFonts w:hint="eastAsia" w:ascii="宋体" w:hAnsi="宋体"/>
          <w:b/>
          <w:color w:val="auto"/>
          <w:sz w:val="72"/>
          <w:highlight w:val="none"/>
          <w:lang w:val="en-US" w:eastAsia="zh-CN"/>
        </w:rPr>
        <w:t xml:space="preserve">   </w:t>
      </w:r>
      <w:r>
        <w:rPr>
          <w:rFonts w:hint="eastAsia" w:ascii="宋体" w:hAnsi="宋体"/>
          <w:b/>
          <w:color w:val="auto"/>
          <w:sz w:val="72"/>
          <w:highlight w:val="none"/>
        </w:rPr>
        <w:t xml:space="preserve">  </w:t>
      </w:r>
    </w:p>
    <w:p w14:paraId="18A2F1FF">
      <w:pPr>
        <w:jc w:val="center"/>
        <w:rPr>
          <w:rFonts w:hint="eastAsia" w:ascii="宋体" w:hAnsi="宋体"/>
          <w:b/>
          <w:color w:val="auto"/>
          <w:sz w:val="72"/>
          <w:highlight w:val="none"/>
        </w:rPr>
      </w:pPr>
      <w:r>
        <w:rPr>
          <w:rFonts w:hint="eastAsia" w:ascii="宋体" w:hAnsi="宋体"/>
          <w:b/>
          <w:color w:val="auto"/>
          <w:sz w:val="72"/>
          <w:highlight w:val="none"/>
        </w:rPr>
        <w:t xml:space="preserve">政 府 采 购 项 目 </w:t>
      </w:r>
    </w:p>
    <w:p w14:paraId="2E27C451">
      <w:pPr>
        <w:spacing w:line="360" w:lineRule="auto"/>
        <w:jc w:val="center"/>
        <w:rPr>
          <w:rFonts w:hint="eastAsia" w:ascii="宋体" w:hAnsi="宋体"/>
          <w:b/>
          <w:color w:val="auto"/>
          <w:sz w:val="72"/>
          <w:highlight w:val="none"/>
        </w:rPr>
      </w:pPr>
      <w:r>
        <w:rPr>
          <w:rFonts w:hint="eastAsia" w:ascii="宋体" w:hAnsi="宋体"/>
          <w:b/>
          <w:color w:val="auto"/>
          <w:sz w:val="72"/>
          <w:highlight w:val="none"/>
        </w:rPr>
        <w:t>招   标   文   件</w:t>
      </w:r>
    </w:p>
    <w:p w14:paraId="487EF664">
      <w:pPr>
        <w:spacing w:line="360" w:lineRule="auto"/>
        <w:ind w:firstLine="1438" w:firstLineChars="398"/>
        <w:rPr>
          <w:rFonts w:hint="eastAsia" w:ascii="宋体" w:hAnsi="宋体"/>
          <w:b/>
          <w:color w:val="auto"/>
          <w:sz w:val="36"/>
          <w:highlight w:val="none"/>
        </w:rPr>
      </w:pPr>
    </w:p>
    <w:p w14:paraId="516D3509">
      <w:pPr>
        <w:spacing w:line="360" w:lineRule="auto"/>
        <w:ind w:firstLine="1438" w:firstLineChars="398"/>
        <w:rPr>
          <w:rFonts w:hint="eastAsia" w:ascii="宋体" w:hAnsi="宋体"/>
          <w:b/>
          <w:color w:val="auto"/>
          <w:sz w:val="36"/>
          <w:highlight w:val="none"/>
        </w:rPr>
      </w:pPr>
    </w:p>
    <w:p w14:paraId="6718792F">
      <w:pPr>
        <w:spacing w:line="360" w:lineRule="auto"/>
        <w:ind w:firstLine="1438" w:firstLineChars="398"/>
        <w:rPr>
          <w:rFonts w:hint="eastAsia" w:ascii="宋体" w:hAnsi="宋体"/>
          <w:b/>
          <w:color w:val="auto"/>
          <w:sz w:val="36"/>
          <w:highlight w:val="none"/>
        </w:rPr>
      </w:pPr>
    </w:p>
    <w:p w14:paraId="25525F85">
      <w:pPr>
        <w:spacing w:line="360" w:lineRule="auto"/>
        <w:ind w:firstLine="1438" w:firstLineChars="398"/>
        <w:rPr>
          <w:rFonts w:hint="eastAsia" w:ascii="宋体" w:hAnsi="宋体"/>
          <w:b/>
          <w:color w:val="auto"/>
          <w:sz w:val="36"/>
          <w:highlight w:val="none"/>
        </w:rPr>
      </w:pPr>
    </w:p>
    <w:p w14:paraId="11B648DF">
      <w:pPr>
        <w:spacing w:line="360" w:lineRule="auto"/>
        <w:ind w:firstLine="1438" w:firstLineChars="398"/>
        <w:rPr>
          <w:rFonts w:hint="eastAsia" w:ascii="宋体" w:hAnsi="宋体" w:eastAsia="宋体"/>
          <w:b/>
          <w:color w:val="auto"/>
          <w:sz w:val="36"/>
          <w:highlight w:val="none"/>
          <w:u w:val="single"/>
          <w:lang w:val="en-US" w:eastAsia="zh-CN"/>
        </w:rPr>
      </w:pPr>
      <w:r>
        <w:rPr>
          <w:rFonts w:hint="eastAsia" w:ascii="宋体" w:hAnsi="宋体"/>
          <w:b/>
          <w:color w:val="auto"/>
          <w:sz w:val="36"/>
          <w:highlight w:val="none"/>
        </w:rPr>
        <w:t>招 标 编 号：</w:t>
      </w:r>
      <w:r>
        <w:rPr>
          <w:rFonts w:hint="eastAsia" w:ascii="宋体" w:hAnsi="宋体"/>
          <w:b/>
          <w:color w:val="auto"/>
          <w:sz w:val="36"/>
          <w:highlight w:val="none"/>
          <w:u w:val="single"/>
          <w:lang w:eastAsia="zh-CN"/>
        </w:rPr>
        <w:t>XM2024-DZ0025C1</w:t>
      </w:r>
    </w:p>
    <w:p w14:paraId="4DA96645">
      <w:pPr>
        <w:spacing w:line="360" w:lineRule="auto"/>
        <w:ind w:left="3948" w:leftChars="684" w:hanging="2512" w:hangingChars="695"/>
        <w:rPr>
          <w:rFonts w:hint="eastAsia" w:ascii="宋体" w:hAnsi="宋体"/>
          <w:b/>
          <w:color w:val="auto"/>
          <w:sz w:val="36"/>
          <w:highlight w:val="none"/>
          <w:u w:val="single"/>
        </w:rPr>
      </w:pPr>
      <w:r>
        <w:rPr>
          <w:rFonts w:hint="eastAsia" w:ascii="宋体" w:hAnsi="宋体"/>
          <w:b/>
          <w:color w:val="auto"/>
          <w:sz w:val="36"/>
          <w:highlight w:val="none"/>
        </w:rPr>
        <w:t>项 目 名 称：2024年大宗针式打印机</w:t>
      </w:r>
    </w:p>
    <w:p w14:paraId="6C17D705">
      <w:pPr>
        <w:spacing w:line="360" w:lineRule="auto"/>
        <w:ind w:firstLine="1438" w:firstLineChars="398"/>
        <w:rPr>
          <w:rFonts w:hint="eastAsia" w:ascii="宋体" w:hAnsi="宋体"/>
          <w:b/>
          <w:color w:val="auto"/>
          <w:sz w:val="36"/>
          <w:highlight w:val="none"/>
        </w:rPr>
      </w:pPr>
    </w:p>
    <w:p w14:paraId="4AD5999E">
      <w:pPr>
        <w:spacing w:line="360" w:lineRule="auto"/>
        <w:ind w:firstLine="1438" w:firstLineChars="398"/>
        <w:rPr>
          <w:rFonts w:hint="eastAsia" w:ascii="宋体" w:hAnsi="宋体"/>
          <w:b/>
          <w:color w:val="auto"/>
          <w:sz w:val="36"/>
          <w:highlight w:val="none"/>
        </w:rPr>
      </w:pPr>
    </w:p>
    <w:p w14:paraId="247F7BDB">
      <w:pPr>
        <w:spacing w:line="360" w:lineRule="auto"/>
        <w:ind w:firstLine="1438" w:firstLineChars="398"/>
        <w:rPr>
          <w:rFonts w:hint="eastAsia" w:ascii="宋体" w:hAnsi="宋体"/>
          <w:b/>
          <w:color w:val="auto"/>
          <w:sz w:val="36"/>
          <w:highlight w:val="none"/>
        </w:rPr>
      </w:pPr>
    </w:p>
    <w:p w14:paraId="3347B443">
      <w:pPr>
        <w:spacing w:line="360" w:lineRule="auto"/>
        <w:ind w:firstLine="1438" w:firstLineChars="398"/>
        <w:rPr>
          <w:rFonts w:hint="eastAsia" w:ascii="宋体" w:hAnsi="宋体"/>
          <w:b/>
          <w:color w:val="auto"/>
          <w:sz w:val="36"/>
          <w:highlight w:val="none"/>
        </w:rPr>
      </w:pPr>
    </w:p>
    <w:p w14:paraId="507F5AA9">
      <w:pPr>
        <w:spacing w:line="360" w:lineRule="auto"/>
        <w:ind w:firstLine="1438" w:firstLineChars="398"/>
        <w:rPr>
          <w:rFonts w:hint="eastAsia" w:ascii="宋体" w:hAnsi="宋体"/>
          <w:b/>
          <w:color w:val="auto"/>
          <w:sz w:val="36"/>
          <w:highlight w:val="none"/>
        </w:rPr>
      </w:pPr>
    </w:p>
    <w:p w14:paraId="2C7B2D80">
      <w:pPr>
        <w:pStyle w:val="5"/>
        <w:spacing w:line="360" w:lineRule="auto"/>
        <w:ind w:firstLine="1438" w:firstLineChars="398"/>
        <w:jc w:val="left"/>
        <w:rPr>
          <w:rFonts w:hint="eastAsia" w:hAnsi="宋体"/>
          <w:b/>
          <w:color w:val="auto"/>
          <w:spacing w:val="20"/>
          <w:sz w:val="32"/>
          <w:highlight w:val="none"/>
        </w:rPr>
      </w:pPr>
    </w:p>
    <w:p w14:paraId="3FF08489">
      <w:pPr>
        <w:pStyle w:val="5"/>
        <w:spacing w:line="360" w:lineRule="auto"/>
        <w:ind w:firstLine="1438" w:firstLineChars="398"/>
        <w:jc w:val="left"/>
        <w:rPr>
          <w:rFonts w:hint="eastAsia" w:hAnsi="宋体"/>
          <w:b/>
          <w:bCs/>
          <w:color w:val="auto"/>
          <w:sz w:val="32"/>
          <w:highlight w:val="none"/>
          <w:u w:val="single"/>
        </w:rPr>
      </w:pPr>
      <w:r>
        <w:rPr>
          <w:rFonts w:hint="eastAsia" w:hAnsi="宋体"/>
          <w:b/>
          <w:color w:val="auto"/>
          <w:spacing w:val="20"/>
          <w:sz w:val="32"/>
          <w:highlight w:val="none"/>
        </w:rPr>
        <w:t>使用单位：厦门市政府机关事业单位和福建省内其他终端用户</w:t>
      </w:r>
    </w:p>
    <w:p w14:paraId="4A8CDD6C">
      <w:pPr>
        <w:pStyle w:val="5"/>
        <w:spacing w:line="360" w:lineRule="auto"/>
        <w:ind w:firstLine="1438" w:firstLineChars="398"/>
        <w:jc w:val="left"/>
        <w:rPr>
          <w:rFonts w:hint="eastAsia" w:hAnsi="宋体"/>
          <w:b/>
          <w:bCs/>
          <w:color w:val="auto"/>
          <w:sz w:val="32"/>
          <w:highlight w:val="none"/>
        </w:rPr>
      </w:pPr>
      <w:r>
        <w:rPr>
          <w:rFonts w:hint="eastAsia" w:hAnsi="宋体"/>
          <w:b/>
          <w:color w:val="auto"/>
          <w:spacing w:val="20"/>
          <w:sz w:val="32"/>
          <w:highlight w:val="none"/>
        </w:rPr>
        <w:t>采购单位：</w:t>
      </w:r>
      <w:r>
        <w:rPr>
          <w:rFonts w:hint="eastAsia" w:hAnsi="宋体"/>
          <w:b/>
          <w:bCs/>
          <w:color w:val="auto"/>
          <w:sz w:val="32"/>
          <w:highlight w:val="none"/>
        </w:rPr>
        <w:t>厦门万翔网络商务有限公司</w:t>
      </w:r>
    </w:p>
    <w:p w14:paraId="167B41BA">
      <w:pPr>
        <w:pStyle w:val="5"/>
        <w:spacing w:line="360" w:lineRule="auto"/>
        <w:ind w:firstLine="1438" w:firstLineChars="398"/>
        <w:jc w:val="left"/>
        <w:rPr>
          <w:rFonts w:hint="eastAsia" w:hAnsi="宋体"/>
          <w:b/>
          <w:color w:val="auto"/>
          <w:sz w:val="28"/>
          <w:highlight w:val="none"/>
        </w:rPr>
      </w:pPr>
      <w:r>
        <w:rPr>
          <w:rFonts w:hint="eastAsia" w:hAnsi="宋体"/>
          <w:b/>
          <w:color w:val="auto"/>
          <w:spacing w:val="20"/>
          <w:sz w:val="32"/>
          <w:highlight w:val="none"/>
        </w:rPr>
        <w:t>招标代理机构：</w:t>
      </w:r>
      <w:r>
        <w:rPr>
          <w:rFonts w:hint="eastAsia" w:hAnsi="宋体"/>
          <w:b/>
          <w:bCs/>
          <w:color w:val="auto"/>
          <w:sz w:val="32"/>
          <w:highlight w:val="none"/>
        </w:rPr>
        <w:t xml:space="preserve">厦门万翔招标有限公司 </w:t>
      </w:r>
      <w:r>
        <w:rPr>
          <w:rFonts w:hint="eastAsia" w:hAnsi="宋体"/>
          <w:b/>
          <w:color w:val="auto"/>
          <w:spacing w:val="20"/>
          <w:sz w:val="32"/>
          <w:highlight w:val="none"/>
        </w:rPr>
        <w:t xml:space="preserve"> </w:t>
      </w:r>
    </w:p>
    <w:p w14:paraId="531E4835">
      <w:pPr>
        <w:spacing w:line="360" w:lineRule="auto"/>
        <w:ind w:firstLine="1438" w:firstLineChars="398"/>
        <w:rPr>
          <w:rFonts w:hint="eastAsia" w:ascii="宋体" w:hAnsi="宋体"/>
          <w:b/>
          <w:color w:val="auto"/>
          <w:sz w:val="36"/>
          <w:highlight w:val="none"/>
        </w:rPr>
      </w:pPr>
    </w:p>
    <w:p w14:paraId="4C3EDC43">
      <w:pPr>
        <w:pStyle w:val="5"/>
        <w:spacing w:line="360" w:lineRule="auto"/>
        <w:jc w:val="center"/>
        <w:outlineLvl w:val="0"/>
        <w:rPr>
          <w:rFonts w:hint="eastAsia" w:hAnsi="宋体"/>
          <w:b/>
          <w:color w:val="auto"/>
          <w:sz w:val="32"/>
          <w:highlight w:val="none"/>
        </w:rPr>
      </w:pPr>
      <w:r>
        <w:rPr>
          <w:rFonts w:hint="eastAsia" w:hAnsi="宋体"/>
          <w:b/>
          <w:color w:val="auto"/>
          <w:sz w:val="32"/>
          <w:highlight w:val="none"/>
          <w:lang w:eastAsia="zh-CN"/>
        </w:rPr>
        <w:t>2024</w:t>
      </w:r>
      <w:r>
        <w:rPr>
          <w:rFonts w:hint="eastAsia" w:hAnsi="宋体"/>
          <w:b/>
          <w:color w:val="auto"/>
          <w:sz w:val="32"/>
          <w:highlight w:val="none"/>
        </w:rPr>
        <w:t>年</w:t>
      </w:r>
    </w:p>
    <w:p w14:paraId="7157AB03">
      <w:pPr>
        <w:pStyle w:val="5"/>
        <w:spacing w:line="360" w:lineRule="auto"/>
        <w:jc w:val="both"/>
        <w:outlineLvl w:val="0"/>
        <w:rPr>
          <w:rFonts w:hint="eastAsia" w:hAnsi="宋体"/>
          <w:b/>
          <w:color w:val="auto"/>
          <w:sz w:val="32"/>
          <w:highlight w:val="none"/>
        </w:rPr>
      </w:pPr>
    </w:p>
    <w:p w14:paraId="4AC31E87">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关于政府采购信用贷款的提示</w:t>
      </w:r>
    </w:p>
    <w:p w14:paraId="1DF0D645">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（201608版）</w:t>
      </w:r>
    </w:p>
    <w:p w14:paraId="6274682F">
      <w:pPr>
        <w:rPr>
          <w:rFonts w:hint="eastAsia" w:ascii="宋体" w:hAnsi="宋体" w:eastAsia="宋体" w:cs="宋体"/>
          <w:color w:val="auto"/>
          <w:sz w:val="24"/>
          <w:szCs w:val="24"/>
          <w:highlight w:val="none"/>
        </w:rPr>
      </w:pPr>
    </w:p>
    <w:p w14:paraId="363B68B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38084AD6">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有关金融机构联系方式： </w:t>
      </w:r>
    </w:p>
    <w:p w14:paraId="3C7FEA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（一）中国建设银行厦门分行：</w:t>
      </w:r>
    </w:p>
    <w:p w14:paraId="0836502A">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联系人：魏慧媛   2158595 </w:t>
      </w:r>
    </w:p>
    <w:p w14:paraId="634C41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（二）中国光大银行厦门分行：</w:t>
      </w:r>
    </w:p>
    <w:p w14:paraId="23CB7E9F">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  虹   2283776、13806013400；朱姗姗   2991131、18050082825</w:t>
      </w:r>
    </w:p>
    <w:p w14:paraId="664564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（三）兴业银行厦门分行</w:t>
      </w:r>
    </w:p>
    <w:p w14:paraId="4FB937CD">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联系人：陈小姐  0592-5312509 13599531245 ；高经理  0592-5312350 13850017508 </w:t>
      </w:r>
    </w:p>
    <w:p w14:paraId="781F62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（四）厦门市担保有限公司：</w:t>
      </w:r>
    </w:p>
    <w:p w14:paraId="4499FC7D">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联系人：陈文辉   5125116；吴龙辉   5120019</w:t>
      </w:r>
    </w:p>
    <w:p w14:paraId="27904D6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（五）厦门银行股份有限公司 </w:t>
      </w:r>
    </w:p>
    <w:p w14:paraId="2157A3E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联系人：张冬梅 13395990009 ；陈韵 13656021986</w:t>
      </w:r>
    </w:p>
    <w:p w14:paraId="4CB7FB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以上具体贷款事项，以贷款机构与贷款人最终签订的贷款合同约定为准，贷款人应进一步与贷款金融机构了解详细情况。任何单位和个人均不得干预银企双方开展政府采购信用贷款业务。</w:t>
      </w:r>
    </w:p>
    <w:p w14:paraId="610DBE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本提示仅作为信息告知，具体贷款事宜以银行等有关金融机构审批为准。</w:t>
      </w:r>
    </w:p>
    <w:p w14:paraId="49CAC71B">
      <w:pPr>
        <w:spacing w:line="360" w:lineRule="auto"/>
        <w:ind w:firstLine="480" w:firstLineChars="200"/>
        <w:rPr>
          <w:rFonts w:hint="eastAsia" w:ascii="宋体" w:hAnsi="宋体" w:eastAsia="宋体" w:cs="宋体"/>
          <w:color w:val="auto"/>
          <w:sz w:val="24"/>
          <w:szCs w:val="24"/>
          <w:highlight w:val="none"/>
        </w:rPr>
      </w:pPr>
    </w:p>
    <w:p w14:paraId="232097B6">
      <w:pPr>
        <w:spacing w:line="360" w:lineRule="auto"/>
        <w:ind w:firstLine="480" w:firstLineChars="200"/>
        <w:rPr>
          <w:rFonts w:hint="eastAsia" w:ascii="宋体" w:hAnsi="宋体" w:eastAsia="宋体" w:cs="宋体"/>
          <w:color w:val="auto"/>
          <w:sz w:val="24"/>
          <w:szCs w:val="24"/>
          <w:highlight w:val="none"/>
        </w:rPr>
      </w:pPr>
    </w:p>
    <w:p w14:paraId="58FC8F80">
      <w:pPr>
        <w:spacing w:line="360" w:lineRule="auto"/>
        <w:ind w:firstLine="480" w:firstLineChars="200"/>
        <w:rPr>
          <w:rFonts w:hint="eastAsia" w:ascii="宋体" w:hAnsi="宋体" w:eastAsia="宋体" w:cs="宋体"/>
          <w:color w:val="auto"/>
          <w:sz w:val="24"/>
          <w:szCs w:val="24"/>
          <w:highlight w:val="none"/>
        </w:rPr>
      </w:pPr>
    </w:p>
    <w:p w14:paraId="6A90B4E5">
      <w:pPr>
        <w:spacing w:line="360" w:lineRule="auto"/>
        <w:ind w:firstLine="480" w:firstLineChars="200"/>
        <w:rPr>
          <w:rFonts w:hint="eastAsia" w:ascii="宋体" w:hAnsi="宋体" w:eastAsia="宋体" w:cs="宋体"/>
          <w:color w:val="auto"/>
          <w:sz w:val="24"/>
          <w:szCs w:val="24"/>
          <w:highlight w:val="none"/>
        </w:rPr>
      </w:pPr>
    </w:p>
    <w:p w14:paraId="00FFE272">
      <w:pPr>
        <w:spacing w:line="360" w:lineRule="auto"/>
        <w:ind w:firstLine="0" w:firstLineChars="0"/>
        <w:rPr>
          <w:rFonts w:hint="eastAsia" w:ascii="宋体" w:hAnsi="宋体" w:eastAsia="宋体" w:cs="宋体"/>
          <w:color w:val="auto"/>
          <w:sz w:val="24"/>
          <w:szCs w:val="24"/>
          <w:highlight w:val="none"/>
        </w:rPr>
      </w:pPr>
    </w:p>
    <w:p w14:paraId="4A82717E">
      <w:pPr>
        <w:pStyle w:val="5"/>
        <w:spacing w:line="360" w:lineRule="auto"/>
        <w:jc w:val="center"/>
        <w:outlineLvl w:val="0"/>
        <w:rPr>
          <w:rFonts w:hint="eastAsia" w:hAnsi="宋体" w:eastAsia="宋体" w:cs="宋体"/>
          <w:b/>
          <w:bCs/>
          <w:color w:val="auto"/>
          <w:sz w:val="32"/>
          <w:szCs w:val="32"/>
          <w:highlight w:val="none"/>
        </w:rPr>
      </w:pPr>
      <w:r>
        <w:rPr>
          <w:rFonts w:hint="eastAsia" w:hAnsi="宋体" w:eastAsia="宋体" w:cs="宋体"/>
          <w:b/>
          <w:bCs/>
          <w:color w:val="auto"/>
          <w:sz w:val="32"/>
          <w:szCs w:val="32"/>
          <w:highlight w:val="none"/>
        </w:rPr>
        <w:t xml:space="preserve">  目   录</w:t>
      </w:r>
    </w:p>
    <w:p w14:paraId="58663DF2">
      <w:pPr>
        <w:pStyle w:val="2"/>
        <w:snapToGrid w:val="0"/>
        <w:spacing w:line="360" w:lineRule="auto"/>
        <w:ind w:firstLine="0"/>
        <w:rPr>
          <w:rFonts w:hint="eastAsia" w:ascii="宋体" w:hAnsi="宋体" w:eastAsia="宋体" w:cs="宋体"/>
          <w:color w:val="auto"/>
          <w:sz w:val="24"/>
          <w:szCs w:val="24"/>
          <w:highlight w:val="none"/>
        </w:rPr>
      </w:pPr>
    </w:p>
    <w:p w14:paraId="615AAC46">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第一章    投标邀请 …………………………………………………1</w:t>
      </w:r>
    </w:p>
    <w:p w14:paraId="5E411397">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投标邀请函…………………………………………………1-1</w:t>
      </w:r>
    </w:p>
    <w:p w14:paraId="7700ECEE">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第二章    投标人须知  ………………………………………………2</w:t>
      </w:r>
    </w:p>
    <w:p w14:paraId="1344037E">
      <w:pPr>
        <w:spacing w:line="360" w:lineRule="auto"/>
        <w:ind w:firstLine="240" w:firstLineChars="1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投标人须知前附表1、2、3、4 </w:t>
      </w:r>
      <w:r>
        <w:rPr>
          <w:rFonts w:hint="eastAsia" w:ascii="宋体" w:hAnsi="宋体" w:eastAsia="宋体" w:cs="宋体"/>
          <w:color w:val="auto"/>
          <w:sz w:val="24"/>
          <w:szCs w:val="24"/>
          <w:highlight w:val="none"/>
        </w:rPr>
        <w:t>……………………………………2-1-1</w:t>
      </w:r>
    </w:p>
    <w:p w14:paraId="348805AE">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 说明 ………………………………………………………2-2-1</w:t>
      </w:r>
    </w:p>
    <w:p w14:paraId="4FD2276E">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 招标文件 …………………………………………………2-2-</w:t>
      </w:r>
      <w:r>
        <w:rPr>
          <w:rFonts w:hint="eastAsia" w:ascii="宋体" w:hAnsi="宋体" w:eastAsia="宋体" w:cs="宋体"/>
          <w:color w:val="auto"/>
          <w:sz w:val="24"/>
          <w:szCs w:val="24"/>
          <w:highlight w:val="none"/>
          <w:lang w:val="en-US" w:eastAsia="zh-CN"/>
        </w:rPr>
        <w:t>4</w:t>
      </w:r>
    </w:p>
    <w:p w14:paraId="32D6210B">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 投标文件的编写 …………………………………………2-2-</w:t>
      </w:r>
      <w:r>
        <w:rPr>
          <w:rFonts w:hint="eastAsia" w:ascii="宋体" w:hAnsi="宋体" w:eastAsia="宋体" w:cs="宋体"/>
          <w:color w:val="auto"/>
          <w:sz w:val="24"/>
          <w:szCs w:val="24"/>
          <w:highlight w:val="none"/>
          <w:lang w:val="en-US" w:eastAsia="zh-CN"/>
        </w:rPr>
        <w:t>5</w:t>
      </w:r>
    </w:p>
    <w:p w14:paraId="698E1D36">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 投标文件的提交 …………………………………………2-2-</w:t>
      </w:r>
      <w:r>
        <w:rPr>
          <w:rFonts w:hint="eastAsia" w:ascii="宋体" w:hAnsi="宋体" w:eastAsia="宋体" w:cs="宋体"/>
          <w:color w:val="auto"/>
          <w:sz w:val="24"/>
          <w:szCs w:val="24"/>
          <w:highlight w:val="none"/>
          <w:lang w:val="en-US" w:eastAsia="zh-CN"/>
        </w:rPr>
        <w:t>8</w:t>
      </w:r>
    </w:p>
    <w:p w14:paraId="469D08FA">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 投标文件的评估和比较 …………………………………2-2-</w:t>
      </w:r>
      <w:r>
        <w:rPr>
          <w:rFonts w:hint="eastAsia" w:ascii="宋体" w:hAnsi="宋体" w:eastAsia="宋体" w:cs="宋体"/>
          <w:color w:val="auto"/>
          <w:sz w:val="24"/>
          <w:szCs w:val="24"/>
          <w:highlight w:val="none"/>
          <w:lang w:val="en-US" w:eastAsia="zh-CN"/>
        </w:rPr>
        <w:t>9</w:t>
      </w:r>
    </w:p>
    <w:p w14:paraId="5A87C2F1">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 定标与签订合同…………………………………………2-2-1</w:t>
      </w:r>
      <w:r>
        <w:rPr>
          <w:rFonts w:hint="eastAsia" w:ascii="宋体" w:hAnsi="宋体" w:eastAsia="宋体" w:cs="宋体"/>
          <w:color w:val="auto"/>
          <w:sz w:val="24"/>
          <w:szCs w:val="24"/>
          <w:highlight w:val="none"/>
          <w:lang w:val="en-US" w:eastAsia="zh-CN"/>
        </w:rPr>
        <w:t>2</w:t>
      </w:r>
    </w:p>
    <w:p w14:paraId="6866ABD7">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第三章    招标内容及要求  ………………………………………3-1</w:t>
      </w:r>
    </w:p>
    <w:p w14:paraId="6EA853D9">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第四章    政府</w:t>
      </w:r>
      <w:r>
        <w:rPr>
          <w:rFonts w:hint="eastAsia" w:ascii="宋体" w:hAnsi="宋体" w:eastAsia="宋体" w:cs="宋体"/>
          <w:bCs/>
          <w:color w:val="auto"/>
          <w:sz w:val="24"/>
          <w:szCs w:val="24"/>
          <w:highlight w:val="none"/>
        </w:rPr>
        <w:t xml:space="preserve">采购合同 </w:t>
      </w:r>
      <w:r>
        <w:rPr>
          <w:rFonts w:hint="eastAsia" w:ascii="宋体" w:hAnsi="宋体" w:eastAsia="宋体" w:cs="宋体"/>
          <w:color w:val="auto"/>
          <w:sz w:val="24"/>
          <w:szCs w:val="24"/>
          <w:highlight w:val="none"/>
        </w:rPr>
        <w:t>…………………………………………4-1</w:t>
      </w:r>
    </w:p>
    <w:p w14:paraId="7831C9C0">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第五章    投标文件格式 …………………………………………5-1</w:t>
      </w:r>
    </w:p>
    <w:p w14:paraId="0F2E0BE8">
      <w:pPr>
        <w:pStyle w:val="2"/>
        <w:spacing w:line="360" w:lineRule="auto"/>
        <w:ind w:firstLine="2250" w:firstLineChars="934"/>
        <w:rPr>
          <w:rFonts w:hint="eastAsia" w:ascii="宋体" w:hAnsi="宋体" w:eastAsia="宋体" w:cs="宋体"/>
          <w:b/>
          <w:color w:val="auto"/>
          <w:sz w:val="24"/>
          <w:szCs w:val="24"/>
          <w:highlight w:val="none"/>
          <w:u w:val="single"/>
        </w:rPr>
        <w:sectPr>
          <w:footerReference r:id="rId5" w:type="first"/>
          <w:headerReference r:id="rId3" w:type="default"/>
          <w:footerReference r:id="rId4" w:type="default"/>
          <w:pgSz w:w="11906" w:h="16838"/>
          <w:pgMar w:top="1440" w:right="1800" w:bottom="1440" w:left="1800" w:header="851" w:footer="992" w:gutter="0"/>
          <w:cols w:space="425" w:num="1"/>
          <w:docGrid w:type="lines" w:linePitch="312" w:charSpace="0"/>
        </w:sectPr>
      </w:pPr>
    </w:p>
    <w:p w14:paraId="737605A5">
      <w:pPr>
        <w:pStyle w:val="38"/>
        <w:spacing w:line="360" w:lineRule="auto"/>
        <w:jc w:val="center"/>
        <w:rPr>
          <w:rFonts w:hint="eastAsia" w:hAnsi="宋体" w:eastAsia="宋体" w:cs="宋体"/>
          <w:b/>
          <w:bCs/>
          <w:color w:val="auto"/>
          <w:sz w:val="32"/>
          <w:szCs w:val="32"/>
          <w:highlight w:val="none"/>
        </w:rPr>
      </w:pPr>
      <w:r>
        <w:rPr>
          <w:rFonts w:hint="eastAsia" w:hAnsi="宋体" w:eastAsia="宋体" w:cs="宋体"/>
          <w:b/>
          <w:color w:val="auto"/>
          <w:sz w:val="32"/>
          <w:szCs w:val="32"/>
          <w:highlight w:val="none"/>
        </w:rPr>
        <w:t>第一章  投标邀请函</w:t>
      </w:r>
    </w:p>
    <w:p w14:paraId="23895C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受【</w:t>
      </w:r>
      <w:r>
        <w:rPr>
          <w:rFonts w:hint="eastAsia" w:ascii="宋体" w:hAnsi="宋体" w:cs="宋体"/>
          <w:b/>
          <w:color w:val="auto"/>
          <w:sz w:val="24"/>
          <w:szCs w:val="24"/>
          <w:highlight w:val="none"/>
          <w:u w:val="single"/>
        </w:rPr>
        <w:t>厦门万翔网络商务有限公司</w:t>
      </w:r>
      <w:r>
        <w:rPr>
          <w:rFonts w:hint="eastAsia" w:ascii="宋体" w:hAnsi="宋体" w:eastAsia="宋体" w:cs="宋体"/>
          <w:b/>
          <w:color w:val="auto"/>
          <w:sz w:val="24"/>
          <w:szCs w:val="24"/>
          <w:highlight w:val="none"/>
          <w:u w:val="single"/>
        </w:rPr>
        <w:t>】</w:t>
      </w:r>
      <w:r>
        <w:rPr>
          <w:rFonts w:hint="eastAsia" w:ascii="宋体" w:hAnsi="宋体" w:eastAsia="宋体" w:cs="宋体"/>
          <w:color w:val="auto"/>
          <w:sz w:val="24"/>
          <w:szCs w:val="24"/>
          <w:highlight w:val="none"/>
        </w:rPr>
        <w:t>委托，</w:t>
      </w:r>
      <w:r>
        <w:rPr>
          <w:rFonts w:hint="eastAsia" w:ascii="宋体" w:hAnsi="宋体" w:eastAsia="宋体" w:cs="宋体"/>
          <w:b/>
          <w:color w:val="auto"/>
          <w:sz w:val="24"/>
          <w:szCs w:val="24"/>
          <w:highlight w:val="none"/>
          <w:u w:val="single"/>
        </w:rPr>
        <w:t xml:space="preserve">厦门万翔招标有限公司 </w:t>
      </w:r>
      <w:r>
        <w:rPr>
          <w:rFonts w:hint="eastAsia" w:ascii="宋体" w:hAnsi="宋体" w:eastAsia="宋体" w:cs="宋体"/>
          <w:color w:val="auto"/>
          <w:sz w:val="24"/>
          <w:szCs w:val="24"/>
          <w:highlight w:val="none"/>
        </w:rPr>
        <w:t>对【</w:t>
      </w:r>
      <w:r>
        <w:rPr>
          <w:rFonts w:hint="eastAsia" w:ascii="宋体" w:hAnsi="宋体" w:eastAsia="宋体" w:cs="宋体"/>
          <w:color w:val="auto"/>
          <w:sz w:val="24"/>
          <w:szCs w:val="24"/>
          <w:highlight w:val="none"/>
          <w:u w:val="single"/>
        </w:rPr>
        <w:t>2024年大宗针式打印机 】</w:t>
      </w:r>
      <w:r>
        <w:rPr>
          <w:rFonts w:hint="eastAsia" w:ascii="宋体" w:hAnsi="宋体" w:eastAsia="宋体" w:cs="宋体"/>
          <w:color w:val="auto"/>
          <w:sz w:val="24"/>
          <w:szCs w:val="24"/>
          <w:highlight w:val="none"/>
        </w:rPr>
        <w:t>货物（或服务）进行国内公开招标，现欢迎国内合格的投标人前来投标。</w:t>
      </w:r>
    </w:p>
    <w:p w14:paraId="0A686D4C">
      <w:pPr>
        <w:spacing w:line="360" w:lineRule="auto"/>
        <w:ind w:firstLine="360" w:firstLineChars="1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1、招标编号：</w:t>
      </w:r>
      <w:r>
        <w:rPr>
          <w:rFonts w:hint="eastAsia" w:ascii="宋体" w:hAnsi="宋体" w:cs="宋体"/>
          <w:color w:val="auto"/>
          <w:sz w:val="24"/>
          <w:szCs w:val="24"/>
          <w:highlight w:val="none"/>
          <w:u w:val="single"/>
          <w:lang w:eastAsia="zh-CN"/>
        </w:rPr>
        <w:t>XM2024-DZ0025C1</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7839BAB1">
      <w:pPr>
        <w:spacing w:line="360" w:lineRule="auto"/>
        <w:ind w:firstLine="318" w:firstLineChars="150"/>
        <w:rPr>
          <w:rFonts w:hint="eastAsia" w:ascii="宋体" w:hAnsi="宋体" w:eastAsia="宋体" w:cs="宋体"/>
          <w:color w:val="auto"/>
          <w:spacing w:val="-14"/>
          <w:sz w:val="24"/>
          <w:szCs w:val="24"/>
          <w:highlight w:val="none"/>
        </w:rPr>
      </w:pPr>
      <w:r>
        <w:rPr>
          <w:rFonts w:hint="eastAsia" w:ascii="宋体" w:hAnsi="宋体" w:eastAsia="宋体" w:cs="宋体"/>
          <w:color w:val="auto"/>
          <w:spacing w:val="-14"/>
          <w:sz w:val="24"/>
          <w:szCs w:val="24"/>
          <w:highlight w:val="none"/>
        </w:rPr>
        <w:t>2、招标货物（服务）名称、数量及主要技术规格：见后</w:t>
      </w:r>
      <w:r>
        <w:rPr>
          <w:rFonts w:hint="eastAsia" w:ascii="宋体" w:hAnsi="宋体" w:eastAsia="宋体" w:cs="宋体"/>
          <w:color w:val="auto"/>
          <w:sz w:val="24"/>
          <w:szCs w:val="24"/>
          <w:highlight w:val="none"/>
        </w:rPr>
        <w:t>附招标货物（</w:t>
      </w:r>
      <w:r>
        <w:rPr>
          <w:rFonts w:hint="eastAsia" w:ascii="宋体" w:hAnsi="宋体" w:eastAsia="宋体" w:cs="宋体"/>
          <w:color w:val="auto"/>
          <w:spacing w:val="-14"/>
          <w:sz w:val="24"/>
          <w:szCs w:val="24"/>
          <w:highlight w:val="none"/>
        </w:rPr>
        <w:t>服务）</w:t>
      </w:r>
      <w:r>
        <w:rPr>
          <w:rFonts w:hint="eastAsia" w:ascii="宋体" w:hAnsi="宋体" w:eastAsia="宋体" w:cs="宋体"/>
          <w:color w:val="auto"/>
          <w:sz w:val="24"/>
          <w:szCs w:val="24"/>
          <w:highlight w:val="none"/>
        </w:rPr>
        <w:t>一览表。</w:t>
      </w:r>
    </w:p>
    <w:p w14:paraId="1CF5B6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3、招标文件获取方式：</w:t>
      </w:r>
      <w:r>
        <w:rPr>
          <w:rFonts w:hint="eastAsia" w:ascii="宋体" w:hAnsi="宋体" w:cs="宋体"/>
          <w:bCs/>
          <w:color w:val="auto"/>
          <w:sz w:val="24"/>
          <w:szCs w:val="24"/>
          <w:highlight w:val="none"/>
          <w:lang w:eastAsia="zh-CN"/>
        </w:rPr>
        <w:t>2024</w:t>
      </w:r>
      <w:r>
        <w:rPr>
          <w:rFonts w:hint="eastAsia" w:ascii="宋体" w:hAnsi="宋体" w:eastAsia="宋体" w:cs="宋体"/>
          <w:bCs/>
          <w:color w:val="auto"/>
          <w:sz w:val="24"/>
          <w:szCs w:val="24"/>
          <w:highlight w:val="none"/>
        </w:rPr>
        <w:t>年</w:t>
      </w:r>
      <w:r>
        <w:rPr>
          <w:rFonts w:hint="eastAsia" w:ascii="宋体" w:hAnsi="宋体" w:cs="宋体"/>
          <w:bCs/>
          <w:color w:val="auto"/>
          <w:sz w:val="24"/>
          <w:szCs w:val="24"/>
          <w:highlight w:val="none"/>
          <w:lang w:val="en-US" w:eastAsia="zh-CN"/>
        </w:rPr>
        <w:t>07</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12</w:t>
      </w:r>
      <w:r>
        <w:rPr>
          <w:rFonts w:hint="eastAsia" w:ascii="宋体" w:hAnsi="宋体" w:eastAsia="宋体" w:cs="宋体"/>
          <w:color w:val="auto"/>
          <w:sz w:val="24"/>
          <w:szCs w:val="24"/>
          <w:highlight w:val="none"/>
        </w:rPr>
        <w:t>日至</w:t>
      </w:r>
      <w:r>
        <w:rPr>
          <w:rFonts w:hint="eastAsia" w:ascii="宋体" w:hAnsi="宋体" w:cs="宋体"/>
          <w:color w:val="auto"/>
          <w:sz w:val="24"/>
          <w:szCs w:val="24"/>
          <w:highlight w:val="none"/>
          <w:lang w:eastAsia="zh-CN"/>
        </w:rPr>
        <w:t>2024</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07</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29</w:t>
      </w:r>
      <w:r>
        <w:rPr>
          <w:rFonts w:hint="eastAsia" w:ascii="宋体" w:hAnsi="宋体" w:eastAsia="宋体" w:cs="宋体"/>
          <w:color w:val="auto"/>
          <w:sz w:val="24"/>
          <w:szCs w:val="24"/>
          <w:highlight w:val="none"/>
        </w:rPr>
        <w:t>日，有意向的供应商应在厦门招投标网（http:// www.xmztb.com，下同）注册账号，登录后可免费在线浏览招标文件，完成缴费并下载招标文件后方具备投标资格。缴费仅支持在线扫码支付。</w:t>
      </w:r>
    </w:p>
    <w:p w14:paraId="0079D2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A、供应商注册详见厦门招投标网－办事指南－操作手册—《供应商注册登记操作手册》</w:t>
      </w:r>
    </w:p>
    <w:p w14:paraId="7AC7FE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B、缴费及下载招标文件详见厦门招投标网－办事指南－操作手册—《供应商招标项目操作手册》</w:t>
      </w:r>
    </w:p>
    <w:p w14:paraId="5DAE109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C、请各投标人务必在招标文件购买截止时间前，在线扫码支付完成缴费并下载招标文件，否则不具备投标资格。</w:t>
      </w:r>
    </w:p>
    <w:p w14:paraId="10329B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D、纸质招标文件(若需要)获取方式：领取地点在厦门市湖里区机场北路476号</w:t>
      </w:r>
      <w:r>
        <w:rPr>
          <w:rFonts w:hint="eastAsia" w:ascii="宋体" w:hAnsi="宋体" w:eastAsia="宋体" w:cs="宋体"/>
          <w:color w:val="auto"/>
          <w:sz w:val="24"/>
          <w:szCs w:val="24"/>
          <w:highlight w:val="none"/>
          <w:lang w:eastAsia="zh-CN"/>
        </w:rPr>
        <w:t>万翔招标</w:t>
      </w:r>
      <w:r>
        <w:rPr>
          <w:rFonts w:hint="eastAsia" w:ascii="宋体" w:hAnsi="宋体" w:eastAsia="宋体" w:cs="宋体"/>
          <w:color w:val="auto"/>
          <w:sz w:val="24"/>
          <w:szCs w:val="24"/>
          <w:highlight w:val="none"/>
        </w:rPr>
        <w:t>4楼售标室。纸质招标文件领取事宜联系电话：0592-2219823。</w:t>
      </w:r>
    </w:p>
    <w:p w14:paraId="6604957E">
      <w:pPr>
        <w:pStyle w:val="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4、招标文件售价：每个合同包</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u w:val="single"/>
          <w:lang w:val="en-US" w:eastAsia="zh-CN"/>
        </w:rPr>
        <w:t>50</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元人民币，售后不退。</w:t>
      </w:r>
    </w:p>
    <w:p w14:paraId="12D0E4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5、投标截止时间、地点：投标文件应于</w:t>
      </w:r>
      <w:r>
        <w:rPr>
          <w:rFonts w:hint="eastAsia" w:ascii="宋体" w:hAnsi="宋体" w:cs="宋体"/>
          <w:color w:val="auto"/>
          <w:sz w:val="24"/>
          <w:szCs w:val="24"/>
          <w:highlight w:val="none"/>
          <w:lang w:eastAsia="zh-CN"/>
        </w:rPr>
        <w:t>2024</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08</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02</w:t>
      </w:r>
      <w:r>
        <w:rPr>
          <w:rFonts w:hint="eastAsia" w:ascii="宋体" w:hAnsi="宋体" w:eastAsia="宋体" w:cs="宋体"/>
          <w:color w:val="auto"/>
          <w:sz w:val="24"/>
          <w:szCs w:val="24"/>
          <w:highlight w:val="none"/>
        </w:rPr>
        <w:t>日上午</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9：</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rPr>
        <w:t>（北京时间）之前提交到</w:t>
      </w:r>
      <w:r>
        <w:rPr>
          <w:rFonts w:hint="eastAsia" w:ascii="宋体" w:hAnsi="宋体" w:eastAsia="宋体" w:cs="宋体"/>
          <w:b/>
          <w:color w:val="auto"/>
          <w:sz w:val="24"/>
          <w:szCs w:val="24"/>
          <w:highlight w:val="none"/>
          <w:u w:val="single"/>
        </w:rPr>
        <w:t>厦门市湖里区云顶北路842号厦门市政务服务中心4楼信息发布大厅东侧收标处</w:t>
      </w:r>
      <w:r>
        <w:rPr>
          <w:rFonts w:hint="eastAsia" w:ascii="宋体" w:hAnsi="宋体" w:cs="宋体"/>
          <w:b/>
          <w:color w:val="auto"/>
          <w:sz w:val="24"/>
          <w:szCs w:val="24"/>
          <w:highlight w:val="none"/>
          <w:u w:val="single"/>
          <w:lang w:val="en-US" w:eastAsia="zh-CN"/>
        </w:rPr>
        <w:t>4</w:t>
      </w:r>
      <w:r>
        <w:rPr>
          <w:rFonts w:hint="eastAsia" w:ascii="宋体" w:hAnsi="宋体" w:eastAsia="宋体" w:cs="宋体"/>
          <w:b/>
          <w:color w:val="auto"/>
          <w:sz w:val="24"/>
          <w:szCs w:val="24"/>
          <w:highlight w:val="none"/>
          <w:u w:val="single"/>
        </w:rPr>
        <w:t>号收标窗口</w:t>
      </w:r>
      <w:r>
        <w:rPr>
          <w:rFonts w:hint="eastAsia" w:ascii="宋体" w:hAnsi="宋体" w:eastAsia="宋体" w:cs="宋体"/>
          <w:color w:val="auto"/>
          <w:sz w:val="24"/>
          <w:szCs w:val="24"/>
          <w:highlight w:val="none"/>
        </w:rPr>
        <w:t>。逾期收到的或不符合规定的投标文件将被拒绝。</w:t>
      </w:r>
    </w:p>
    <w:p w14:paraId="44D49A65">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6、开标时间、地点: </w:t>
      </w:r>
      <w:r>
        <w:rPr>
          <w:rFonts w:hint="eastAsia" w:ascii="宋体" w:hAnsi="宋体" w:cs="宋体"/>
          <w:color w:val="auto"/>
          <w:sz w:val="24"/>
          <w:szCs w:val="24"/>
          <w:highlight w:val="none"/>
          <w:lang w:eastAsia="zh-CN"/>
        </w:rPr>
        <w:t>2024</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08</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02</w:t>
      </w:r>
      <w:r>
        <w:rPr>
          <w:rFonts w:hint="eastAsia" w:ascii="宋体" w:hAnsi="宋体" w:eastAsia="宋体" w:cs="宋体"/>
          <w:color w:val="auto"/>
          <w:sz w:val="24"/>
          <w:szCs w:val="24"/>
          <w:highlight w:val="none"/>
        </w:rPr>
        <w:t>日上午</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9：</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rPr>
        <w:t>（北京时间）于</w:t>
      </w:r>
      <w:r>
        <w:rPr>
          <w:rFonts w:hint="eastAsia" w:ascii="宋体" w:hAnsi="宋体" w:cs="宋体"/>
          <w:b/>
          <w:color w:val="auto"/>
          <w:sz w:val="24"/>
          <w:szCs w:val="24"/>
          <w:highlight w:val="none"/>
          <w:u w:val="single"/>
        </w:rPr>
        <w:t>厦门市湖里区云顶北路842号厦门市行政服务中心4楼</w:t>
      </w:r>
      <w:r>
        <w:rPr>
          <w:rFonts w:hint="eastAsia" w:ascii="宋体" w:hAnsi="宋体" w:cs="宋体"/>
          <w:b/>
          <w:color w:val="auto"/>
          <w:sz w:val="24"/>
          <w:szCs w:val="24"/>
          <w:highlight w:val="none"/>
          <w:u w:val="single"/>
          <w:lang w:val="en-US" w:eastAsia="zh-CN"/>
        </w:rPr>
        <w:t>C</w:t>
      </w:r>
      <w:r>
        <w:rPr>
          <w:rFonts w:hint="eastAsia" w:ascii="宋体" w:hAnsi="宋体" w:cs="宋体"/>
          <w:b/>
          <w:color w:val="auto"/>
          <w:sz w:val="24"/>
          <w:szCs w:val="24"/>
          <w:highlight w:val="none"/>
          <w:u w:val="single"/>
        </w:rPr>
        <w:t>区开标室</w:t>
      </w:r>
      <w:r>
        <w:rPr>
          <w:rFonts w:hint="eastAsia" w:ascii="宋体" w:hAnsi="宋体" w:cs="宋体"/>
          <w:b/>
          <w:color w:val="auto"/>
          <w:sz w:val="24"/>
          <w:szCs w:val="24"/>
          <w:highlight w:val="none"/>
          <w:u w:val="single"/>
          <w:lang w:val="en-US" w:eastAsia="zh-CN"/>
        </w:rPr>
        <w:t xml:space="preserve">3(C401) </w:t>
      </w:r>
      <w:r>
        <w:rPr>
          <w:rFonts w:hint="eastAsia" w:ascii="宋体" w:hAnsi="宋体" w:eastAsia="宋体" w:cs="宋体"/>
          <w:color w:val="auto"/>
          <w:sz w:val="24"/>
          <w:szCs w:val="24"/>
          <w:highlight w:val="none"/>
        </w:rPr>
        <w:t>。</w:t>
      </w:r>
    </w:p>
    <w:p w14:paraId="13A98AC9">
      <w:pPr>
        <w:spacing w:line="360" w:lineRule="auto"/>
        <w:ind w:firstLine="361" w:firstLineChars="15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7、本项目（接受）联合体投标。</w:t>
      </w:r>
    </w:p>
    <w:p w14:paraId="791A143A">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8、招标文件如有变更，</w:t>
      </w:r>
      <w:r>
        <w:rPr>
          <w:rFonts w:hint="eastAsia" w:ascii="宋体" w:hAnsi="宋体" w:eastAsia="宋体" w:cs="宋体"/>
          <w:b/>
          <w:color w:val="auto"/>
          <w:sz w:val="24"/>
          <w:szCs w:val="24"/>
          <w:highlight w:val="none"/>
          <w:u w:val="single"/>
        </w:rPr>
        <w:t xml:space="preserve">厦门万翔招标有限公司 </w:t>
      </w:r>
      <w:r>
        <w:rPr>
          <w:rFonts w:hint="eastAsia" w:ascii="宋体" w:hAnsi="宋体" w:eastAsia="宋体" w:cs="宋体"/>
          <w:bCs/>
          <w:color w:val="auto"/>
          <w:sz w:val="24"/>
          <w:szCs w:val="24"/>
          <w:highlight w:val="none"/>
        </w:rPr>
        <w:t>将通过中国政府采购网、厦门招投标网（</w:t>
      </w:r>
      <w:r>
        <w:rPr>
          <w:rFonts w:hint="eastAsia" w:ascii="宋体" w:hAnsi="宋体" w:eastAsia="宋体" w:cs="宋体"/>
          <w:color w:val="auto"/>
          <w:sz w:val="24"/>
          <w:szCs w:val="24"/>
          <w:highlight w:val="none"/>
        </w:rPr>
        <w:t>www.xmztb.com</w:t>
      </w:r>
      <w:r>
        <w:rPr>
          <w:rFonts w:hint="eastAsia" w:ascii="宋体" w:hAnsi="宋体" w:eastAsia="宋体" w:cs="宋体"/>
          <w:bCs/>
          <w:color w:val="auto"/>
          <w:sz w:val="24"/>
          <w:szCs w:val="24"/>
          <w:highlight w:val="none"/>
        </w:rPr>
        <w:t>）等媒体发布通知信息，请投标人关注</w:t>
      </w:r>
      <w:r>
        <w:rPr>
          <w:rFonts w:hint="eastAsia" w:ascii="宋体" w:hAnsi="宋体" w:eastAsia="宋体" w:cs="宋体"/>
          <w:color w:val="auto"/>
          <w:sz w:val="24"/>
          <w:szCs w:val="24"/>
          <w:highlight w:val="none"/>
        </w:rPr>
        <w:t>。</w:t>
      </w:r>
    </w:p>
    <w:p w14:paraId="4EBB645A">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9、友情提醒：本项目仅限网上购买招标文件，投标人必须按招标文件要求递交纸质投标文件。 </w:t>
      </w:r>
    </w:p>
    <w:p w14:paraId="5A439D7B">
      <w:pPr>
        <w:spacing w:line="360" w:lineRule="auto"/>
        <w:ind w:firstLine="240" w:firstLineChars="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10、投标人对本次招标活动事项提出疑问的，请在投标截止时间十五日之前，与招标代理机构联系。来函请加盖单位公章，并提供联系人、联系电话及传真号码。</w:t>
      </w:r>
    </w:p>
    <w:p w14:paraId="4A647E87">
      <w:pPr>
        <w:spacing w:line="360" w:lineRule="auto"/>
        <w:ind w:firstLine="361" w:firstLineChars="15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11、为方便开标唱标，投标人应将开标一览表原件和投标保证金缴交凭证单独密封，并在信封上标明“开标一览表”字样，然后再装入投标文件密封袋中密封。</w:t>
      </w:r>
    </w:p>
    <w:p w14:paraId="25A5C749">
      <w:pPr>
        <w:tabs>
          <w:tab w:val="left" w:pos="1140"/>
        </w:tabs>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12、各有关联系方式</w:t>
      </w:r>
    </w:p>
    <w:tbl>
      <w:tblPr>
        <w:tblStyle w:val="14"/>
        <w:tblW w:w="98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14"/>
        <w:gridCol w:w="1409"/>
        <w:gridCol w:w="1239"/>
        <w:gridCol w:w="3348"/>
        <w:gridCol w:w="2976"/>
      </w:tblGrid>
      <w:tr w14:paraId="45C6EE2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14" w:type="dxa"/>
            <w:noWrap w:val="0"/>
            <w:vAlign w:val="center"/>
          </w:tcPr>
          <w:p w14:paraId="44A03EA0">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序号</w:t>
            </w:r>
          </w:p>
        </w:tc>
        <w:tc>
          <w:tcPr>
            <w:tcW w:w="1409" w:type="dxa"/>
            <w:noWrap w:val="0"/>
            <w:vAlign w:val="center"/>
          </w:tcPr>
          <w:p w14:paraId="38181259">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分工</w:t>
            </w:r>
          </w:p>
        </w:tc>
        <w:tc>
          <w:tcPr>
            <w:tcW w:w="1239" w:type="dxa"/>
            <w:noWrap w:val="0"/>
            <w:vAlign w:val="center"/>
          </w:tcPr>
          <w:p w14:paraId="722ACF76">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联系人</w:t>
            </w:r>
          </w:p>
        </w:tc>
        <w:tc>
          <w:tcPr>
            <w:tcW w:w="3348" w:type="dxa"/>
            <w:noWrap w:val="0"/>
            <w:vAlign w:val="center"/>
          </w:tcPr>
          <w:p w14:paraId="6BF91CF9">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职责范围</w:t>
            </w:r>
          </w:p>
        </w:tc>
        <w:tc>
          <w:tcPr>
            <w:tcW w:w="2976" w:type="dxa"/>
            <w:noWrap w:val="0"/>
            <w:vAlign w:val="center"/>
          </w:tcPr>
          <w:p w14:paraId="6F084A2B">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联系电话</w:t>
            </w:r>
          </w:p>
        </w:tc>
      </w:tr>
      <w:tr w14:paraId="1557B3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0B8F66F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1409" w:type="dxa"/>
            <w:noWrap w:val="0"/>
            <w:vAlign w:val="center"/>
          </w:tcPr>
          <w:p w14:paraId="4C60A53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项目经办</w:t>
            </w:r>
          </w:p>
        </w:tc>
        <w:tc>
          <w:tcPr>
            <w:tcW w:w="1239" w:type="dxa"/>
            <w:noWrap w:val="0"/>
            <w:vAlign w:val="center"/>
          </w:tcPr>
          <w:p w14:paraId="72EAD79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徐先生</w:t>
            </w:r>
          </w:p>
          <w:p w14:paraId="14D28C91">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黄小姐</w:t>
            </w:r>
          </w:p>
        </w:tc>
        <w:tc>
          <w:tcPr>
            <w:tcW w:w="3348" w:type="dxa"/>
            <w:noWrap w:val="0"/>
            <w:vAlign w:val="center"/>
          </w:tcPr>
          <w:p w14:paraId="2CECAF64">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负责招标文件的咨询、答疑等工作</w:t>
            </w:r>
          </w:p>
        </w:tc>
        <w:tc>
          <w:tcPr>
            <w:tcW w:w="2976" w:type="dxa"/>
            <w:noWrap w:val="0"/>
            <w:vAlign w:val="center"/>
          </w:tcPr>
          <w:p w14:paraId="78F1FF78">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0592-</w:t>
            </w:r>
            <w:r>
              <w:rPr>
                <w:rFonts w:hint="eastAsia" w:ascii="宋体" w:hAnsi="宋体" w:cs="宋体"/>
                <w:color w:val="auto"/>
                <w:sz w:val="24"/>
                <w:szCs w:val="24"/>
                <w:highlight w:val="none"/>
                <w:lang w:val="en-US" w:eastAsia="zh-CN"/>
              </w:rPr>
              <w:t>5730600、5721295</w:t>
            </w:r>
          </w:p>
          <w:p w14:paraId="0F5458D1">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传真0592-5706660-6969</w:t>
            </w:r>
          </w:p>
        </w:tc>
      </w:tr>
      <w:tr w14:paraId="2BC7FB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2DF3FC3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1409" w:type="dxa"/>
            <w:noWrap w:val="0"/>
            <w:vAlign w:val="center"/>
          </w:tcPr>
          <w:p w14:paraId="0240545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p>
        </w:tc>
        <w:tc>
          <w:tcPr>
            <w:tcW w:w="1239" w:type="dxa"/>
            <w:noWrap w:val="0"/>
            <w:vAlign w:val="center"/>
          </w:tcPr>
          <w:p w14:paraId="7073832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w:t>
            </w:r>
            <w:r>
              <w:rPr>
                <w:rFonts w:hint="eastAsia" w:ascii="宋体" w:hAnsi="宋体" w:eastAsia="宋体" w:cs="宋体"/>
                <w:color w:val="auto"/>
                <w:sz w:val="24"/>
                <w:szCs w:val="24"/>
                <w:highlight w:val="none"/>
              </w:rPr>
              <w:t>小姐</w:t>
            </w:r>
          </w:p>
        </w:tc>
        <w:tc>
          <w:tcPr>
            <w:tcW w:w="3348" w:type="dxa"/>
            <w:noWrap w:val="0"/>
            <w:vAlign w:val="center"/>
          </w:tcPr>
          <w:p w14:paraId="3294764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投标保证金收、退</w:t>
            </w:r>
          </w:p>
        </w:tc>
        <w:tc>
          <w:tcPr>
            <w:tcW w:w="2976" w:type="dxa"/>
            <w:noWrap w:val="0"/>
            <w:vAlign w:val="center"/>
          </w:tcPr>
          <w:p w14:paraId="4DE9A025">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0592-5703367</w:t>
            </w:r>
          </w:p>
        </w:tc>
      </w:tr>
      <w:tr w14:paraId="5A5E31E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1E644BA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3</w:t>
            </w:r>
          </w:p>
        </w:tc>
        <w:tc>
          <w:tcPr>
            <w:tcW w:w="1409" w:type="dxa"/>
            <w:noWrap w:val="0"/>
            <w:vAlign w:val="center"/>
          </w:tcPr>
          <w:p w14:paraId="64FCD31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代理服务费</w:t>
            </w:r>
          </w:p>
        </w:tc>
        <w:tc>
          <w:tcPr>
            <w:tcW w:w="1239" w:type="dxa"/>
            <w:noWrap w:val="0"/>
            <w:vAlign w:val="center"/>
          </w:tcPr>
          <w:p w14:paraId="228608E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陈小姐</w:t>
            </w:r>
          </w:p>
        </w:tc>
        <w:tc>
          <w:tcPr>
            <w:tcW w:w="3348" w:type="dxa"/>
            <w:noWrap w:val="0"/>
            <w:vAlign w:val="center"/>
          </w:tcPr>
          <w:p w14:paraId="364E64C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收取</w:t>
            </w:r>
          </w:p>
        </w:tc>
        <w:tc>
          <w:tcPr>
            <w:tcW w:w="2976" w:type="dxa"/>
            <w:noWrap w:val="0"/>
            <w:vAlign w:val="center"/>
          </w:tcPr>
          <w:p w14:paraId="174D7092">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w:t>
            </w: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szCs w:val="24"/>
                <w:highlight w:val="none"/>
              </w:rPr>
              <w:t>5703367</w:t>
            </w:r>
          </w:p>
        </w:tc>
      </w:tr>
      <w:tr w14:paraId="65D4E6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4842634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4</w:t>
            </w:r>
          </w:p>
        </w:tc>
        <w:tc>
          <w:tcPr>
            <w:tcW w:w="1409" w:type="dxa"/>
            <w:noWrap w:val="0"/>
            <w:vAlign w:val="center"/>
          </w:tcPr>
          <w:p w14:paraId="2F9EAB5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w:t>
            </w:r>
          </w:p>
        </w:tc>
        <w:tc>
          <w:tcPr>
            <w:tcW w:w="1239" w:type="dxa"/>
            <w:noWrap w:val="0"/>
            <w:vAlign w:val="center"/>
          </w:tcPr>
          <w:p w14:paraId="6777F39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黄经理</w:t>
            </w:r>
          </w:p>
        </w:tc>
        <w:tc>
          <w:tcPr>
            <w:tcW w:w="3348" w:type="dxa"/>
            <w:noWrap w:val="0"/>
            <w:vAlign w:val="center"/>
          </w:tcPr>
          <w:p w14:paraId="40DEB6C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欢迎投标人对项目采购过程中公告发布、招标文件购买、投标保证金缴交和退还、</w:t>
            </w: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收取、中标通知书发放等环节的服务进行监督。我们将竭诚为您提供最优质的服务。</w:t>
            </w:r>
          </w:p>
        </w:tc>
        <w:tc>
          <w:tcPr>
            <w:tcW w:w="2976" w:type="dxa"/>
            <w:noWrap w:val="0"/>
            <w:vAlign w:val="center"/>
          </w:tcPr>
          <w:p w14:paraId="49908B4B">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0592-5705656</w:t>
            </w:r>
          </w:p>
        </w:tc>
      </w:tr>
      <w:tr w14:paraId="1815F3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47A6B6B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5</w:t>
            </w:r>
          </w:p>
        </w:tc>
        <w:tc>
          <w:tcPr>
            <w:tcW w:w="1409" w:type="dxa"/>
            <w:noWrap w:val="0"/>
            <w:vAlign w:val="center"/>
          </w:tcPr>
          <w:p w14:paraId="4F6841A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接收质疑</w:t>
            </w:r>
          </w:p>
        </w:tc>
        <w:tc>
          <w:tcPr>
            <w:tcW w:w="1239" w:type="dxa"/>
            <w:noWrap w:val="0"/>
            <w:vAlign w:val="center"/>
          </w:tcPr>
          <w:p w14:paraId="18F0377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刘经理</w:t>
            </w:r>
          </w:p>
        </w:tc>
        <w:tc>
          <w:tcPr>
            <w:tcW w:w="3348" w:type="dxa"/>
            <w:noWrap w:val="0"/>
            <w:vAlign w:val="center"/>
          </w:tcPr>
          <w:p w14:paraId="3A80370D">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负责接收质疑</w:t>
            </w:r>
          </w:p>
        </w:tc>
        <w:tc>
          <w:tcPr>
            <w:tcW w:w="2976" w:type="dxa"/>
            <w:noWrap w:val="0"/>
            <w:vAlign w:val="center"/>
          </w:tcPr>
          <w:p w14:paraId="305D0DC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电话0592-2218761</w:t>
            </w:r>
          </w:p>
          <w:p w14:paraId="4435703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传真0592-5706660-6969</w:t>
            </w:r>
          </w:p>
          <w:p w14:paraId="648B7FA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"mailto:邮箱hcq@iport.com.cn"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邮箱lmf@iport.com.cn</w:t>
            </w:r>
            <w:r>
              <w:rPr>
                <w:rFonts w:hint="eastAsia" w:ascii="宋体" w:hAnsi="宋体" w:eastAsia="宋体" w:cs="宋体"/>
                <w:color w:val="auto"/>
                <w:sz w:val="24"/>
                <w:szCs w:val="24"/>
                <w:highlight w:val="none"/>
              </w:rPr>
              <w:fldChar w:fldCharType="end"/>
            </w:r>
          </w:p>
          <w:p w14:paraId="3A7E1B40">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通讯地址：厦门市湖里区机场北路476号4楼</w:t>
            </w:r>
          </w:p>
        </w:tc>
      </w:tr>
    </w:tbl>
    <w:p w14:paraId="6FFAA1ED">
      <w:pPr>
        <w:tabs>
          <w:tab w:val="left" w:pos="11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13、投标保证金及</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缴交账户：</w:t>
      </w:r>
    </w:p>
    <w:tbl>
      <w:tblPr>
        <w:tblStyle w:val="14"/>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26"/>
        <w:gridCol w:w="3240"/>
        <w:gridCol w:w="4602"/>
      </w:tblGrid>
      <w:tr w14:paraId="778118D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326" w:type="dxa"/>
            <w:noWrap w:val="0"/>
            <w:vAlign w:val="center"/>
          </w:tcPr>
          <w:p w14:paraId="54E4F30B">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类   别</w:t>
            </w:r>
          </w:p>
        </w:tc>
        <w:tc>
          <w:tcPr>
            <w:tcW w:w="3240" w:type="dxa"/>
            <w:noWrap w:val="0"/>
            <w:vAlign w:val="center"/>
          </w:tcPr>
          <w:p w14:paraId="3A58860C">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投标保证金缴交账户</w:t>
            </w:r>
          </w:p>
        </w:tc>
        <w:tc>
          <w:tcPr>
            <w:tcW w:w="4602" w:type="dxa"/>
            <w:noWrap w:val="0"/>
            <w:vAlign w:val="center"/>
          </w:tcPr>
          <w:p w14:paraId="3404C66B">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缴交账户</w:t>
            </w:r>
          </w:p>
        </w:tc>
      </w:tr>
      <w:tr w14:paraId="4AC726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326" w:type="dxa"/>
            <w:noWrap w:val="0"/>
            <w:vAlign w:val="center"/>
          </w:tcPr>
          <w:p w14:paraId="0944DAB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 户 行</w:t>
            </w:r>
          </w:p>
        </w:tc>
        <w:tc>
          <w:tcPr>
            <w:tcW w:w="3240" w:type="dxa"/>
            <w:noWrap w:val="0"/>
            <w:vAlign w:val="center"/>
          </w:tcPr>
          <w:p w14:paraId="28616DE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default" w:ascii="宋体" w:hAnsi="宋体" w:cs="宋体"/>
                <w:color w:val="auto"/>
                <w:sz w:val="24"/>
                <w:szCs w:val="24"/>
                <w:highlight w:val="none"/>
              </w:rPr>
              <w:t>/</w:t>
            </w:r>
          </w:p>
        </w:tc>
        <w:tc>
          <w:tcPr>
            <w:tcW w:w="4602" w:type="dxa"/>
            <w:noWrap w:val="0"/>
            <w:vAlign w:val="center"/>
          </w:tcPr>
          <w:p w14:paraId="60D3951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中国建设银行股份有限公司厦门自贸试验区航空港支行</w:t>
            </w:r>
          </w:p>
        </w:tc>
      </w:tr>
      <w:tr w14:paraId="39C846D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14:paraId="66D2E1B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p>
        </w:tc>
        <w:tc>
          <w:tcPr>
            <w:tcW w:w="3240" w:type="dxa"/>
            <w:noWrap w:val="0"/>
            <w:vAlign w:val="center"/>
          </w:tcPr>
          <w:p w14:paraId="4927A32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default" w:ascii="宋体" w:hAnsi="宋体" w:cs="宋体"/>
                <w:color w:val="auto"/>
                <w:sz w:val="24"/>
                <w:szCs w:val="24"/>
                <w:highlight w:val="none"/>
              </w:rPr>
              <w:t>/</w:t>
            </w:r>
          </w:p>
        </w:tc>
        <w:tc>
          <w:tcPr>
            <w:tcW w:w="4602" w:type="dxa"/>
            <w:noWrap w:val="0"/>
            <w:vAlign w:val="center"/>
          </w:tcPr>
          <w:p w14:paraId="34DFA8F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35101570201052504219</w:t>
            </w:r>
          </w:p>
        </w:tc>
      </w:tr>
      <w:tr w14:paraId="10F6A7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14:paraId="795BC8D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户名</w:t>
            </w:r>
          </w:p>
        </w:tc>
        <w:tc>
          <w:tcPr>
            <w:tcW w:w="7842" w:type="dxa"/>
            <w:gridSpan w:val="2"/>
            <w:noWrap w:val="0"/>
            <w:vAlign w:val="center"/>
          </w:tcPr>
          <w:p w14:paraId="16D09B2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厦门万翔招标有限公司</w:t>
            </w:r>
          </w:p>
        </w:tc>
      </w:tr>
    </w:tbl>
    <w:p w14:paraId="00C25E17">
      <w:pPr>
        <w:tabs>
          <w:tab w:val="left" w:pos="1140"/>
        </w:tabs>
        <w:spacing w:line="360" w:lineRule="auto"/>
        <w:ind w:firstLine="560"/>
        <w:rPr>
          <w:rFonts w:hint="eastAsia" w:ascii="宋体" w:hAnsi="宋体" w:eastAsia="宋体" w:cs="宋体"/>
          <w:color w:val="auto"/>
          <w:sz w:val="24"/>
          <w:szCs w:val="24"/>
          <w:highlight w:val="none"/>
        </w:rPr>
      </w:pPr>
    </w:p>
    <w:p w14:paraId="0C5BD92C">
      <w:pPr>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注：投标人须将相关的费用缴交至上表对应的账号，缴错账号而产生的一切后果由投标人自行承担。</w:t>
      </w:r>
    </w:p>
    <w:p w14:paraId="41115127">
      <w:pPr>
        <w:spacing w:line="360" w:lineRule="auto"/>
        <w:ind w:firstLine="360"/>
        <w:rPr>
          <w:rFonts w:hint="eastAsia" w:ascii="宋体" w:hAnsi="宋体" w:eastAsia="宋体" w:cs="宋体"/>
          <w:b/>
          <w:color w:val="auto"/>
          <w:sz w:val="24"/>
          <w:szCs w:val="24"/>
          <w:highlight w:val="none"/>
        </w:rPr>
      </w:pPr>
    </w:p>
    <w:p w14:paraId="3EB90972">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招标代理机构：厦门万翔招标有限公司</w:t>
      </w:r>
    </w:p>
    <w:p w14:paraId="29FCB0B3">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址：厦门市湖里区机场北路476号四楼 </w:t>
      </w:r>
    </w:p>
    <w:p w14:paraId="505F0620">
      <w:pPr>
        <w:tabs>
          <w:tab w:val="left" w:pos="2775"/>
        </w:tabs>
        <w:spacing w:line="360" w:lineRule="auto"/>
        <w:ind w:firstLine="46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 361006</w:t>
      </w:r>
    </w:p>
    <w:p w14:paraId="5E7940D2">
      <w:pPr>
        <w:spacing w:line="360" w:lineRule="auto"/>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rPr>
        <w:t>合同款项事宜联系人：</w:t>
      </w:r>
      <w:r>
        <w:rPr>
          <w:rFonts w:hint="eastAsia" w:ascii="宋体" w:hAnsi="宋体" w:cs="宋体"/>
          <w:color w:val="auto"/>
          <w:kern w:val="0"/>
          <w:sz w:val="24"/>
          <w:szCs w:val="24"/>
          <w:highlight w:val="none"/>
          <w:lang w:val="en-US" w:eastAsia="zh-CN"/>
        </w:rPr>
        <w:t>许先生，0592-5721293。</w:t>
      </w:r>
    </w:p>
    <w:p w14:paraId="7B49AF56">
      <w:pPr>
        <w:pStyle w:val="12"/>
        <w:rPr>
          <w:rFonts w:hint="eastAsia"/>
          <w:color w:val="auto"/>
          <w:highlight w:val="none"/>
        </w:rPr>
      </w:pPr>
    </w:p>
    <w:p w14:paraId="158AB395">
      <w:pPr>
        <w:tabs>
          <w:tab w:val="left" w:pos="2775"/>
        </w:tabs>
        <w:spacing w:line="360" w:lineRule="auto"/>
        <w:ind w:firstLine="465"/>
        <w:rPr>
          <w:rFonts w:hint="eastAsia" w:ascii="宋体" w:hAnsi="宋体" w:eastAsia="宋体" w:cs="宋体"/>
          <w:color w:val="auto"/>
          <w:sz w:val="24"/>
          <w:szCs w:val="24"/>
          <w:highlight w:val="none"/>
        </w:rPr>
      </w:pPr>
    </w:p>
    <w:p w14:paraId="776C048C">
      <w:pPr>
        <w:tabs>
          <w:tab w:val="left" w:pos="2775"/>
        </w:tabs>
        <w:spacing w:line="360" w:lineRule="auto"/>
        <w:ind w:firstLine="465"/>
        <w:rPr>
          <w:rFonts w:hint="eastAsia" w:ascii="宋体" w:hAnsi="宋体" w:eastAsia="宋体" w:cs="宋体"/>
          <w:color w:val="auto"/>
          <w:sz w:val="24"/>
          <w:szCs w:val="24"/>
          <w:highlight w:val="none"/>
        </w:rPr>
      </w:pPr>
    </w:p>
    <w:p w14:paraId="5931313A">
      <w:pPr>
        <w:tabs>
          <w:tab w:val="left" w:pos="2775"/>
        </w:tabs>
        <w:spacing w:line="360" w:lineRule="auto"/>
        <w:ind w:firstLine="465"/>
        <w:rPr>
          <w:rFonts w:hint="eastAsia" w:ascii="宋体" w:hAnsi="宋体" w:eastAsia="宋体" w:cs="宋体"/>
          <w:color w:val="auto"/>
          <w:sz w:val="24"/>
          <w:szCs w:val="24"/>
          <w:highlight w:val="none"/>
        </w:rPr>
      </w:pPr>
    </w:p>
    <w:p w14:paraId="63B3CD76">
      <w:pPr>
        <w:tabs>
          <w:tab w:val="left" w:pos="2775"/>
        </w:tabs>
        <w:spacing w:line="360" w:lineRule="auto"/>
        <w:ind w:firstLine="465"/>
        <w:rPr>
          <w:rFonts w:hint="eastAsia" w:ascii="宋体" w:hAnsi="宋体" w:eastAsia="宋体" w:cs="宋体"/>
          <w:color w:val="auto"/>
          <w:sz w:val="24"/>
          <w:szCs w:val="24"/>
          <w:highlight w:val="none"/>
        </w:rPr>
      </w:pPr>
    </w:p>
    <w:p w14:paraId="037FCB07">
      <w:pPr>
        <w:tabs>
          <w:tab w:val="left" w:pos="2775"/>
        </w:tabs>
        <w:spacing w:line="360" w:lineRule="auto"/>
        <w:ind w:firstLine="465"/>
        <w:rPr>
          <w:rFonts w:hint="eastAsia" w:ascii="宋体" w:hAnsi="宋体" w:eastAsia="宋体" w:cs="宋体"/>
          <w:color w:val="auto"/>
          <w:sz w:val="24"/>
          <w:szCs w:val="24"/>
          <w:highlight w:val="none"/>
        </w:rPr>
      </w:pPr>
    </w:p>
    <w:p w14:paraId="31DC340D">
      <w:pPr>
        <w:tabs>
          <w:tab w:val="left" w:pos="2775"/>
        </w:tabs>
        <w:spacing w:line="360" w:lineRule="auto"/>
        <w:ind w:firstLine="465"/>
        <w:rPr>
          <w:rFonts w:hint="eastAsia" w:ascii="宋体" w:hAnsi="宋体" w:eastAsia="宋体" w:cs="宋体"/>
          <w:color w:val="auto"/>
          <w:sz w:val="24"/>
          <w:szCs w:val="24"/>
          <w:highlight w:val="none"/>
        </w:rPr>
      </w:pPr>
    </w:p>
    <w:p w14:paraId="44713791">
      <w:pPr>
        <w:tabs>
          <w:tab w:val="left" w:pos="2775"/>
        </w:tabs>
        <w:spacing w:line="360" w:lineRule="auto"/>
        <w:ind w:firstLine="465"/>
        <w:rPr>
          <w:rFonts w:hint="eastAsia" w:ascii="宋体" w:hAnsi="宋体" w:eastAsia="宋体" w:cs="宋体"/>
          <w:color w:val="auto"/>
          <w:sz w:val="24"/>
          <w:szCs w:val="24"/>
          <w:highlight w:val="none"/>
        </w:rPr>
      </w:pPr>
    </w:p>
    <w:p w14:paraId="45F2F76D">
      <w:pPr>
        <w:tabs>
          <w:tab w:val="left" w:pos="2775"/>
        </w:tabs>
        <w:spacing w:line="360" w:lineRule="auto"/>
        <w:ind w:firstLine="465"/>
        <w:rPr>
          <w:rFonts w:hint="eastAsia" w:ascii="宋体" w:hAnsi="宋体" w:eastAsia="宋体" w:cs="宋体"/>
          <w:color w:val="auto"/>
          <w:sz w:val="24"/>
          <w:szCs w:val="24"/>
          <w:highlight w:val="none"/>
        </w:rPr>
      </w:pPr>
    </w:p>
    <w:p w14:paraId="55E4BCF8">
      <w:pPr>
        <w:tabs>
          <w:tab w:val="left" w:pos="2775"/>
        </w:tabs>
        <w:spacing w:line="360" w:lineRule="auto"/>
        <w:ind w:firstLine="465"/>
        <w:rPr>
          <w:rFonts w:hint="eastAsia" w:ascii="宋体" w:hAnsi="宋体" w:eastAsia="宋体" w:cs="宋体"/>
          <w:color w:val="auto"/>
          <w:sz w:val="24"/>
          <w:szCs w:val="24"/>
          <w:highlight w:val="none"/>
        </w:rPr>
      </w:pPr>
    </w:p>
    <w:p w14:paraId="72FFFC85">
      <w:pPr>
        <w:tabs>
          <w:tab w:val="left" w:pos="2775"/>
        </w:tabs>
        <w:spacing w:line="360" w:lineRule="auto"/>
        <w:ind w:firstLine="465"/>
        <w:rPr>
          <w:rFonts w:hint="eastAsia" w:ascii="宋体" w:hAnsi="宋体" w:eastAsia="宋体" w:cs="宋体"/>
          <w:color w:val="auto"/>
          <w:sz w:val="24"/>
          <w:szCs w:val="24"/>
          <w:highlight w:val="none"/>
        </w:rPr>
      </w:pPr>
    </w:p>
    <w:p w14:paraId="0D5C5C79">
      <w:pPr>
        <w:tabs>
          <w:tab w:val="left" w:pos="2775"/>
        </w:tabs>
        <w:spacing w:line="360" w:lineRule="auto"/>
        <w:ind w:firstLine="465"/>
        <w:rPr>
          <w:rFonts w:hint="eastAsia" w:ascii="宋体" w:hAnsi="宋体" w:eastAsia="宋体" w:cs="宋体"/>
          <w:color w:val="auto"/>
          <w:sz w:val="24"/>
          <w:szCs w:val="24"/>
          <w:highlight w:val="none"/>
        </w:rPr>
      </w:pPr>
    </w:p>
    <w:p w14:paraId="5508AEB1">
      <w:pPr>
        <w:spacing w:line="360" w:lineRule="auto"/>
        <w:rPr>
          <w:rFonts w:hint="eastAsia" w:ascii="宋体" w:hAnsi="宋体" w:eastAsia="宋体" w:cs="宋体"/>
          <w:color w:val="auto"/>
          <w:sz w:val="32"/>
          <w:szCs w:val="32"/>
          <w:highlight w:val="none"/>
        </w:rPr>
      </w:pPr>
    </w:p>
    <w:p w14:paraId="5E3315FF">
      <w:pPr>
        <w:spacing w:line="360" w:lineRule="auto"/>
        <w:rPr>
          <w:rFonts w:hint="eastAsia" w:ascii="宋体" w:hAnsi="宋体" w:eastAsia="宋体" w:cs="宋体"/>
          <w:color w:val="auto"/>
          <w:sz w:val="32"/>
          <w:szCs w:val="32"/>
          <w:highlight w:val="none"/>
        </w:rPr>
      </w:pPr>
    </w:p>
    <w:p w14:paraId="4E61B4E9">
      <w:pPr>
        <w:spacing w:line="360" w:lineRule="auto"/>
        <w:rPr>
          <w:rFonts w:hint="eastAsia" w:ascii="宋体" w:hAnsi="宋体" w:eastAsia="宋体" w:cs="宋体"/>
          <w:color w:val="auto"/>
          <w:sz w:val="32"/>
          <w:szCs w:val="32"/>
          <w:highlight w:val="none"/>
        </w:rPr>
      </w:pPr>
    </w:p>
    <w:p w14:paraId="57BD8526">
      <w:pPr>
        <w:spacing w:line="360" w:lineRule="auto"/>
        <w:rPr>
          <w:rFonts w:hint="eastAsia" w:ascii="宋体" w:hAnsi="宋体" w:eastAsia="宋体" w:cs="宋体"/>
          <w:color w:val="auto"/>
          <w:sz w:val="32"/>
          <w:szCs w:val="32"/>
          <w:highlight w:val="none"/>
        </w:rPr>
      </w:pPr>
    </w:p>
    <w:p w14:paraId="0F5AF2F5">
      <w:pPr>
        <w:spacing w:line="360" w:lineRule="auto"/>
        <w:rPr>
          <w:rFonts w:hint="eastAsia" w:ascii="宋体" w:hAnsi="宋体" w:eastAsia="宋体" w:cs="宋体"/>
          <w:color w:val="auto"/>
          <w:sz w:val="32"/>
          <w:szCs w:val="32"/>
          <w:highlight w:val="none"/>
        </w:rPr>
      </w:pPr>
    </w:p>
    <w:p w14:paraId="3325B428">
      <w:pPr>
        <w:spacing w:line="360" w:lineRule="auto"/>
        <w:rPr>
          <w:rFonts w:hint="eastAsia" w:ascii="宋体" w:hAnsi="宋体" w:eastAsia="宋体" w:cs="宋体"/>
          <w:color w:val="auto"/>
          <w:sz w:val="32"/>
          <w:szCs w:val="32"/>
          <w:highlight w:val="none"/>
        </w:rPr>
      </w:pPr>
    </w:p>
    <w:p w14:paraId="10E5DF66">
      <w:pPr>
        <w:spacing w:line="360" w:lineRule="auto"/>
        <w:rPr>
          <w:rFonts w:hint="eastAsia" w:ascii="宋体" w:hAnsi="宋体" w:eastAsia="宋体" w:cs="宋体"/>
          <w:color w:val="auto"/>
          <w:sz w:val="32"/>
          <w:szCs w:val="32"/>
          <w:highlight w:val="none"/>
        </w:rPr>
      </w:pPr>
    </w:p>
    <w:p w14:paraId="3D10C93C">
      <w:pPr>
        <w:spacing w:line="360" w:lineRule="auto"/>
        <w:rPr>
          <w:rFonts w:hint="eastAsia" w:ascii="宋体" w:hAnsi="宋体" w:eastAsia="宋体" w:cs="宋体"/>
          <w:color w:val="auto"/>
          <w:sz w:val="32"/>
          <w:szCs w:val="32"/>
          <w:highlight w:val="none"/>
        </w:rPr>
      </w:pPr>
    </w:p>
    <w:p w14:paraId="46564063">
      <w:pPr>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附：招标货物(服务)一览表</w:t>
      </w:r>
    </w:p>
    <w:p w14:paraId="7543C9B5">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招标货物（服务）一览表</w:t>
      </w:r>
    </w:p>
    <w:tbl>
      <w:tblPr>
        <w:tblStyle w:val="14"/>
        <w:tblW w:w="10345" w:type="dxa"/>
        <w:tblInd w:w="-7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1"/>
        <w:gridCol w:w="1049"/>
        <w:gridCol w:w="1716"/>
        <w:gridCol w:w="900"/>
        <w:gridCol w:w="1291"/>
        <w:gridCol w:w="1272"/>
        <w:gridCol w:w="1577"/>
        <w:gridCol w:w="1419"/>
      </w:tblGrid>
      <w:tr w14:paraId="06FBE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121" w:type="dxa"/>
            <w:tcBorders>
              <w:top w:val="single" w:color="auto" w:sz="4" w:space="0"/>
              <w:left w:val="single" w:color="auto" w:sz="4" w:space="0"/>
              <w:bottom w:val="single" w:color="auto" w:sz="4" w:space="0"/>
              <w:right w:val="single" w:color="auto" w:sz="4" w:space="0"/>
            </w:tcBorders>
            <w:noWrap w:val="0"/>
            <w:vAlign w:val="center"/>
          </w:tcPr>
          <w:p w14:paraId="02E94364">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合同包</w:t>
            </w:r>
          </w:p>
        </w:tc>
        <w:tc>
          <w:tcPr>
            <w:tcW w:w="1049" w:type="dxa"/>
            <w:tcBorders>
              <w:top w:val="single" w:color="auto" w:sz="4" w:space="0"/>
              <w:left w:val="single" w:color="auto" w:sz="4" w:space="0"/>
              <w:bottom w:val="single" w:color="auto" w:sz="4" w:space="0"/>
              <w:right w:val="single" w:color="auto" w:sz="4" w:space="0"/>
            </w:tcBorders>
            <w:noWrap w:val="0"/>
            <w:vAlign w:val="center"/>
          </w:tcPr>
          <w:p w14:paraId="6C92CCBF">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品目号</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3D8EAB1E">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货物名称</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2970A6E8">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数量</w:t>
            </w:r>
          </w:p>
        </w:tc>
        <w:tc>
          <w:tcPr>
            <w:tcW w:w="1291" w:type="dxa"/>
            <w:tcBorders>
              <w:top w:val="single" w:color="auto" w:sz="4" w:space="0"/>
              <w:left w:val="single" w:color="auto" w:sz="4" w:space="0"/>
              <w:bottom w:val="single" w:color="auto" w:sz="4" w:space="0"/>
              <w:right w:val="single" w:color="auto" w:sz="4" w:space="0"/>
            </w:tcBorders>
            <w:noWrap w:val="0"/>
            <w:vAlign w:val="center"/>
          </w:tcPr>
          <w:p w14:paraId="0350926E">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主要技术规格</w:t>
            </w:r>
          </w:p>
        </w:tc>
        <w:tc>
          <w:tcPr>
            <w:tcW w:w="1272" w:type="dxa"/>
            <w:tcBorders>
              <w:top w:val="single" w:color="auto" w:sz="4" w:space="0"/>
              <w:left w:val="single" w:color="auto" w:sz="4" w:space="0"/>
              <w:bottom w:val="single" w:color="auto" w:sz="4" w:space="0"/>
              <w:right w:val="single" w:color="auto" w:sz="4" w:space="0"/>
            </w:tcBorders>
            <w:noWrap w:val="0"/>
            <w:vAlign w:val="center"/>
          </w:tcPr>
          <w:p w14:paraId="1D3884F7">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交货地点</w:t>
            </w:r>
          </w:p>
        </w:tc>
        <w:tc>
          <w:tcPr>
            <w:tcW w:w="1577" w:type="dxa"/>
            <w:tcBorders>
              <w:top w:val="single" w:color="auto" w:sz="4" w:space="0"/>
              <w:left w:val="single" w:color="auto" w:sz="4" w:space="0"/>
              <w:bottom w:val="single" w:color="auto" w:sz="4" w:space="0"/>
              <w:right w:val="single" w:color="auto" w:sz="4" w:space="0"/>
            </w:tcBorders>
            <w:noWrap w:val="0"/>
            <w:vAlign w:val="center"/>
          </w:tcPr>
          <w:p w14:paraId="5F4FD189">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交付使用期</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04EE0FEF">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采购周期</w:t>
            </w:r>
          </w:p>
        </w:tc>
      </w:tr>
      <w:tr w14:paraId="2F632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121" w:type="dxa"/>
            <w:vMerge w:val="restart"/>
            <w:tcBorders>
              <w:top w:val="single" w:color="auto" w:sz="4" w:space="0"/>
              <w:left w:val="single" w:color="auto" w:sz="4" w:space="0"/>
              <w:right w:val="single" w:color="auto" w:sz="4" w:space="0"/>
            </w:tcBorders>
            <w:noWrap w:val="0"/>
            <w:vAlign w:val="center"/>
          </w:tcPr>
          <w:p w14:paraId="4F4F36F4">
            <w:pPr>
              <w:keepNext w:val="0"/>
              <w:keepLines w:val="0"/>
              <w:suppressLineNumbers w:val="0"/>
              <w:spacing w:before="0" w:beforeAutospacing="0" w:after="0" w:afterAutospacing="0" w:line="360" w:lineRule="auto"/>
              <w:ind w:left="0" w:right="0"/>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eastAsia="zh-CN"/>
              </w:rPr>
              <w:t>XM2024-DZ0025C1</w:t>
            </w:r>
          </w:p>
        </w:tc>
        <w:tc>
          <w:tcPr>
            <w:tcW w:w="1049" w:type="dxa"/>
            <w:tcBorders>
              <w:top w:val="single" w:color="auto" w:sz="4" w:space="0"/>
              <w:left w:val="single" w:color="auto" w:sz="4" w:space="0"/>
              <w:bottom w:val="single" w:color="auto" w:sz="4" w:space="0"/>
              <w:right w:val="single" w:color="auto" w:sz="4" w:space="0"/>
            </w:tcBorders>
            <w:noWrap w:val="0"/>
            <w:vAlign w:val="center"/>
          </w:tcPr>
          <w:p w14:paraId="31BC8F33">
            <w:pPr>
              <w:keepNext w:val="0"/>
              <w:keepLines w:val="0"/>
              <w:suppressLineNumbers w:val="0"/>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40368ED0">
            <w:pPr>
              <w:keepNext w:val="0"/>
              <w:keepLines w:val="0"/>
              <w:suppressLineNumbers w:val="0"/>
              <w:spacing w:before="0" w:beforeAutospacing="0" w:after="0" w:afterAutospacing="0"/>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80列</w:t>
            </w:r>
            <w:r>
              <w:rPr>
                <w:rFonts w:hint="eastAsia" w:ascii="宋体" w:hAnsi="宋体" w:eastAsia="宋体" w:cs="宋体"/>
                <w:b w:val="0"/>
                <w:bCs w:val="0"/>
                <w:color w:val="auto"/>
                <w:sz w:val="24"/>
                <w:szCs w:val="24"/>
                <w:highlight w:val="none"/>
              </w:rPr>
              <w:t>平推针式打印机</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17CE6CDF">
            <w:pPr>
              <w:keepNext w:val="0"/>
              <w:keepLines w:val="0"/>
              <w:widowControl/>
              <w:suppressLineNumbers w:val="0"/>
              <w:spacing w:before="0" w:beforeAutospacing="0" w:after="0" w:afterAutospacing="0"/>
              <w:ind w:left="0" w:right="0"/>
              <w:jc w:val="left"/>
              <w:textAlignment w:val="auto"/>
              <w:rPr>
                <w:rFonts w:hint="eastAsia" w:ascii="宋体" w:hAnsi="宋体" w:eastAsia="宋体" w:cs="宋体"/>
                <w:b w:val="0"/>
                <w:bCs w:val="0"/>
                <w:color w:val="auto"/>
                <w:sz w:val="24"/>
                <w:szCs w:val="24"/>
                <w:highlight w:val="none"/>
                <w:lang w:val="en-US"/>
              </w:rPr>
            </w:pPr>
            <w:r>
              <w:rPr>
                <w:rFonts w:hint="eastAsia" w:ascii="宋体" w:hAnsi="宋体" w:eastAsia="宋体" w:cs="宋体"/>
                <w:b w:val="0"/>
                <w:bCs w:val="0"/>
                <w:i w:val="0"/>
                <w:iCs w:val="0"/>
                <w:color w:val="auto"/>
                <w:kern w:val="2"/>
                <w:sz w:val="24"/>
                <w:szCs w:val="24"/>
                <w:highlight w:val="none"/>
                <w:u w:val="none"/>
                <w:lang w:val="en-US" w:eastAsia="zh-CN" w:bidi="ar"/>
              </w:rPr>
              <w:t>200台</w:t>
            </w:r>
          </w:p>
        </w:tc>
        <w:tc>
          <w:tcPr>
            <w:tcW w:w="1291" w:type="dxa"/>
            <w:vMerge w:val="restart"/>
            <w:tcBorders>
              <w:top w:val="single" w:color="auto" w:sz="4" w:space="0"/>
              <w:left w:val="single" w:color="auto" w:sz="4" w:space="0"/>
              <w:right w:val="single" w:color="auto" w:sz="4" w:space="0"/>
            </w:tcBorders>
            <w:noWrap w:val="0"/>
            <w:vAlign w:val="center"/>
          </w:tcPr>
          <w:p w14:paraId="3282F3DE">
            <w:pPr>
              <w:keepNext w:val="0"/>
              <w:keepLines w:val="0"/>
              <w:suppressLineNumbers w:val="0"/>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详见招标内容及要求</w:t>
            </w:r>
          </w:p>
        </w:tc>
        <w:tc>
          <w:tcPr>
            <w:tcW w:w="1272" w:type="dxa"/>
            <w:vMerge w:val="restart"/>
            <w:tcBorders>
              <w:top w:val="single" w:color="auto" w:sz="4" w:space="0"/>
              <w:left w:val="single" w:color="auto" w:sz="4" w:space="0"/>
              <w:right w:val="single" w:color="auto" w:sz="4" w:space="0"/>
            </w:tcBorders>
            <w:noWrap w:val="0"/>
            <w:vAlign w:val="center"/>
          </w:tcPr>
          <w:p w14:paraId="418D9601">
            <w:pPr>
              <w:keepNext w:val="0"/>
              <w:keepLines w:val="0"/>
              <w:suppressLineNumbers w:val="0"/>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使用单位指定地点</w:t>
            </w:r>
          </w:p>
        </w:tc>
        <w:tc>
          <w:tcPr>
            <w:tcW w:w="1577" w:type="dxa"/>
            <w:vMerge w:val="restart"/>
            <w:tcBorders>
              <w:top w:val="single" w:color="auto" w:sz="4" w:space="0"/>
              <w:left w:val="single" w:color="auto" w:sz="4" w:space="0"/>
              <w:right w:val="single" w:color="auto" w:sz="4" w:space="0"/>
            </w:tcBorders>
            <w:noWrap w:val="0"/>
            <w:vAlign w:val="center"/>
          </w:tcPr>
          <w:p w14:paraId="504FB30C">
            <w:pPr>
              <w:keepNext w:val="0"/>
              <w:keepLines w:val="0"/>
              <w:suppressLineNumbers w:val="0"/>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中标供应商在接到采购单位《定货单》之日起15个日历日之内货交采购单位仓库</w:t>
            </w:r>
          </w:p>
        </w:tc>
        <w:tc>
          <w:tcPr>
            <w:tcW w:w="1419" w:type="dxa"/>
            <w:vMerge w:val="restart"/>
            <w:tcBorders>
              <w:top w:val="single" w:color="auto" w:sz="4" w:space="0"/>
              <w:left w:val="single" w:color="auto" w:sz="4" w:space="0"/>
              <w:right w:val="single" w:color="auto" w:sz="4" w:space="0"/>
            </w:tcBorders>
            <w:noWrap w:val="0"/>
            <w:vAlign w:val="center"/>
          </w:tcPr>
          <w:p w14:paraId="521B19B8">
            <w:pPr>
              <w:keepNext w:val="0"/>
              <w:keepLines w:val="0"/>
              <w:suppressLineNumbers w:val="0"/>
              <w:spacing w:before="0" w:beforeAutospacing="0" w:after="0" w:afterAutospacing="0" w:line="360" w:lineRule="auto"/>
              <w:ind w:left="0" w:right="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24个月</w:t>
            </w:r>
          </w:p>
        </w:tc>
      </w:tr>
      <w:tr w14:paraId="74506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121" w:type="dxa"/>
            <w:vMerge w:val="continue"/>
            <w:tcBorders>
              <w:left w:val="single" w:color="auto" w:sz="4" w:space="0"/>
              <w:right w:val="single" w:color="auto" w:sz="4" w:space="0"/>
            </w:tcBorders>
            <w:noWrap w:val="0"/>
            <w:vAlign w:val="center"/>
          </w:tcPr>
          <w:p w14:paraId="42DB2A09">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49" w:type="dxa"/>
            <w:tcBorders>
              <w:top w:val="single" w:color="auto" w:sz="4" w:space="0"/>
              <w:left w:val="single" w:color="auto" w:sz="4" w:space="0"/>
              <w:bottom w:val="single" w:color="auto" w:sz="4" w:space="0"/>
              <w:right w:val="single" w:color="auto" w:sz="4" w:space="0"/>
            </w:tcBorders>
            <w:noWrap w:val="0"/>
            <w:vAlign w:val="center"/>
          </w:tcPr>
          <w:p w14:paraId="076978DB">
            <w:pPr>
              <w:keepNext w:val="0"/>
              <w:keepLines w:val="0"/>
              <w:suppressLineNumbers w:val="0"/>
              <w:spacing w:before="0" w:beforeAutospacing="0" w:after="0" w:afterAutospacing="0" w:line="360" w:lineRule="auto"/>
              <w:ind w:left="0" w:right="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7398CB2A">
            <w:pPr>
              <w:keepNext w:val="0"/>
              <w:keepLines w:val="0"/>
              <w:suppressLineNumbers w:val="0"/>
              <w:spacing w:before="0" w:beforeAutospacing="0" w:after="0" w:afterAutospacing="0"/>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106列</w:t>
            </w:r>
            <w:r>
              <w:rPr>
                <w:rFonts w:hint="eastAsia" w:ascii="宋体" w:hAnsi="宋体" w:eastAsia="宋体" w:cs="宋体"/>
                <w:b w:val="0"/>
                <w:bCs w:val="0"/>
                <w:color w:val="auto"/>
                <w:sz w:val="24"/>
                <w:szCs w:val="24"/>
                <w:highlight w:val="none"/>
              </w:rPr>
              <w:t>平推针式打印机</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39A9378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auto"/>
                <w:sz w:val="24"/>
                <w:szCs w:val="24"/>
                <w:highlight w:val="none"/>
                <w:lang w:val="en-US"/>
              </w:rPr>
            </w:pPr>
            <w:r>
              <w:rPr>
                <w:rFonts w:hint="eastAsia" w:ascii="宋体" w:hAnsi="宋体" w:eastAsia="宋体" w:cs="宋体"/>
                <w:b w:val="0"/>
                <w:bCs w:val="0"/>
                <w:i w:val="0"/>
                <w:iCs w:val="0"/>
                <w:color w:val="auto"/>
                <w:kern w:val="0"/>
                <w:sz w:val="24"/>
                <w:szCs w:val="24"/>
                <w:highlight w:val="none"/>
                <w:u w:val="none"/>
                <w:lang w:val="en-US" w:eastAsia="zh-CN" w:bidi="ar"/>
              </w:rPr>
              <w:t>100台</w:t>
            </w:r>
          </w:p>
        </w:tc>
        <w:tc>
          <w:tcPr>
            <w:tcW w:w="1291" w:type="dxa"/>
            <w:vMerge w:val="continue"/>
            <w:tcBorders>
              <w:left w:val="single" w:color="auto" w:sz="4" w:space="0"/>
              <w:right w:val="single" w:color="auto" w:sz="4" w:space="0"/>
            </w:tcBorders>
            <w:noWrap w:val="0"/>
            <w:vAlign w:val="center"/>
          </w:tcPr>
          <w:p w14:paraId="723A07FA">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272" w:type="dxa"/>
            <w:vMerge w:val="continue"/>
            <w:tcBorders>
              <w:left w:val="single" w:color="auto" w:sz="4" w:space="0"/>
              <w:right w:val="single" w:color="auto" w:sz="4" w:space="0"/>
            </w:tcBorders>
            <w:noWrap w:val="0"/>
            <w:vAlign w:val="center"/>
          </w:tcPr>
          <w:p w14:paraId="2A9F0309">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577" w:type="dxa"/>
            <w:vMerge w:val="continue"/>
            <w:tcBorders>
              <w:left w:val="single" w:color="auto" w:sz="4" w:space="0"/>
              <w:right w:val="single" w:color="auto" w:sz="4" w:space="0"/>
            </w:tcBorders>
            <w:noWrap w:val="0"/>
            <w:vAlign w:val="center"/>
          </w:tcPr>
          <w:p w14:paraId="5C432199">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19" w:type="dxa"/>
            <w:vMerge w:val="continue"/>
            <w:tcBorders>
              <w:left w:val="single" w:color="auto" w:sz="4" w:space="0"/>
              <w:right w:val="single" w:color="auto" w:sz="4" w:space="0"/>
            </w:tcBorders>
            <w:noWrap w:val="0"/>
            <w:vAlign w:val="center"/>
          </w:tcPr>
          <w:p w14:paraId="205680B9">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r w14:paraId="63CF3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121" w:type="dxa"/>
            <w:vMerge w:val="continue"/>
            <w:tcBorders>
              <w:left w:val="single" w:color="auto" w:sz="4" w:space="0"/>
              <w:right w:val="single" w:color="auto" w:sz="4" w:space="0"/>
            </w:tcBorders>
            <w:noWrap w:val="0"/>
            <w:vAlign w:val="center"/>
          </w:tcPr>
          <w:p w14:paraId="7D3C5099">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49" w:type="dxa"/>
            <w:tcBorders>
              <w:top w:val="single" w:color="auto" w:sz="4" w:space="0"/>
              <w:left w:val="single" w:color="auto" w:sz="4" w:space="0"/>
              <w:bottom w:val="single" w:color="auto" w:sz="4" w:space="0"/>
              <w:right w:val="single" w:color="auto" w:sz="4" w:space="0"/>
            </w:tcBorders>
            <w:noWrap w:val="0"/>
            <w:vAlign w:val="center"/>
          </w:tcPr>
          <w:p w14:paraId="6FEFC338">
            <w:pPr>
              <w:keepNext w:val="0"/>
              <w:keepLines w:val="0"/>
              <w:suppressLineNumbers w:val="0"/>
              <w:spacing w:before="0" w:beforeAutospacing="0" w:after="0" w:afterAutospacing="0" w:line="360" w:lineRule="auto"/>
              <w:ind w:left="0" w:right="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1-3</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7C2BA22A">
            <w:pPr>
              <w:keepNext w:val="0"/>
              <w:keepLines w:val="0"/>
              <w:suppressLineNumbers w:val="0"/>
              <w:spacing w:before="0" w:beforeAutospacing="0" w:after="0" w:afterAutospacing="0"/>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106列</w:t>
            </w:r>
            <w:r>
              <w:rPr>
                <w:rFonts w:hint="eastAsia" w:ascii="宋体" w:hAnsi="宋体" w:eastAsia="宋体" w:cs="宋体"/>
                <w:b w:val="0"/>
                <w:bCs w:val="0"/>
                <w:color w:val="auto"/>
                <w:sz w:val="24"/>
                <w:szCs w:val="24"/>
                <w:highlight w:val="none"/>
              </w:rPr>
              <w:t>平推针式打印机（厚）</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41404BC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auto"/>
                <w:sz w:val="24"/>
                <w:szCs w:val="24"/>
                <w:highlight w:val="none"/>
                <w:lang w:val="en-US"/>
              </w:rPr>
            </w:pPr>
            <w:r>
              <w:rPr>
                <w:rFonts w:hint="eastAsia" w:ascii="宋体" w:hAnsi="宋体" w:eastAsia="宋体" w:cs="宋体"/>
                <w:b w:val="0"/>
                <w:bCs w:val="0"/>
                <w:i w:val="0"/>
                <w:iCs w:val="0"/>
                <w:color w:val="auto"/>
                <w:kern w:val="0"/>
                <w:sz w:val="24"/>
                <w:szCs w:val="24"/>
                <w:highlight w:val="none"/>
                <w:u w:val="none"/>
                <w:lang w:val="en-US" w:eastAsia="zh-CN" w:bidi="ar"/>
              </w:rPr>
              <w:t>250台</w:t>
            </w:r>
          </w:p>
        </w:tc>
        <w:tc>
          <w:tcPr>
            <w:tcW w:w="1291" w:type="dxa"/>
            <w:vMerge w:val="continue"/>
            <w:tcBorders>
              <w:left w:val="single" w:color="auto" w:sz="4" w:space="0"/>
              <w:right w:val="single" w:color="auto" w:sz="4" w:space="0"/>
            </w:tcBorders>
            <w:noWrap w:val="0"/>
            <w:vAlign w:val="center"/>
          </w:tcPr>
          <w:p w14:paraId="36681EFE">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272" w:type="dxa"/>
            <w:vMerge w:val="continue"/>
            <w:tcBorders>
              <w:left w:val="single" w:color="auto" w:sz="4" w:space="0"/>
              <w:right w:val="single" w:color="auto" w:sz="4" w:space="0"/>
            </w:tcBorders>
            <w:noWrap w:val="0"/>
            <w:vAlign w:val="center"/>
          </w:tcPr>
          <w:p w14:paraId="0DEB0AFF">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577" w:type="dxa"/>
            <w:vMerge w:val="continue"/>
            <w:tcBorders>
              <w:left w:val="single" w:color="auto" w:sz="4" w:space="0"/>
              <w:right w:val="single" w:color="auto" w:sz="4" w:space="0"/>
            </w:tcBorders>
            <w:noWrap w:val="0"/>
            <w:vAlign w:val="center"/>
          </w:tcPr>
          <w:p w14:paraId="2BAD1146">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19" w:type="dxa"/>
            <w:vMerge w:val="continue"/>
            <w:tcBorders>
              <w:left w:val="single" w:color="auto" w:sz="4" w:space="0"/>
              <w:right w:val="single" w:color="auto" w:sz="4" w:space="0"/>
            </w:tcBorders>
            <w:noWrap w:val="0"/>
            <w:vAlign w:val="center"/>
          </w:tcPr>
          <w:p w14:paraId="76C94DE2">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r w14:paraId="44A06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121" w:type="dxa"/>
            <w:vMerge w:val="continue"/>
            <w:tcBorders>
              <w:left w:val="single" w:color="auto" w:sz="4" w:space="0"/>
              <w:bottom w:val="single" w:color="auto" w:sz="4" w:space="0"/>
              <w:right w:val="single" w:color="auto" w:sz="4" w:space="0"/>
            </w:tcBorders>
            <w:noWrap w:val="0"/>
            <w:vAlign w:val="center"/>
          </w:tcPr>
          <w:p w14:paraId="65E2BA6A">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49" w:type="dxa"/>
            <w:tcBorders>
              <w:top w:val="single" w:color="auto" w:sz="4" w:space="0"/>
              <w:left w:val="single" w:color="auto" w:sz="4" w:space="0"/>
              <w:bottom w:val="single" w:color="auto" w:sz="4" w:space="0"/>
              <w:right w:val="single" w:color="auto" w:sz="4" w:space="0"/>
            </w:tcBorders>
            <w:noWrap w:val="0"/>
            <w:vAlign w:val="center"/>
          </w:tcPr>
          <w:p w14:paraId="6ED7653C">
            <w:pPr>
              <w:keepNext w:val="0"/>
              <w:keepLines w:val="0"/>
              <w:suppressLineNumbers w:val="0"/>
              <w:spacing w:before="0" w:beforeAutospacing="0" w:after="0" w:afterAutospacing="0" w:line="360" w:lineRule="auto"/>
              <w:ind w:left="0" w:right="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1-4</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50F30486">
            <w:pPr>
              <w:keepNext w:val="0"/>
              <w:keepLines w:val="0"/>
              <w:suppressLineNumbers w:val="0"/>
              <w:spacing w:before="0" w:beforeAutospacing="0" w:after="0" w:afterAutospacing="0"/>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 xml:space="preserve">存折针式打印机 </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325F6D1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auto"/>
                <w:sz w:val="24"/>
                <w:szCs w:val="24"/>
                <w:highlight w:val="none"/>
                <w:lang w:val="en-US"/>
              </w:rPr>
            </w:pPr>
            <w:r>
              <w:rPr>
                <w:rFonts w:hint="eastAsia" w:ascii="宋体" w:hAnsi="宋体" w:eastAsia="宋体" w:cs="宋体"/>
                <w:b w:val="0"/>
                <w:bCs w:val="0"/>
                <w:i w:val="0"/>
                <w:iCs w:val="0"/>
                <w:color w:val="auto"/>
                <w:kern w:val="0"/>
                <w:sz w:val="24"/>
                <w:szCs w:val="24"/>
                <w:highlight w:val="none"/>
                <w:u w:val="none"/>
                <w:lang w:val="en-US" w:eastAsia="zh-CN" w:bidi="ar"/>
              </w:rPr>
              <w:t>150台</w:t>
            </w:r>
          </w:p>
        </w:tc>
        <w:tc>
          <w:tcPr>
            <w:tcW w:w="1291" w:type="dxa"/>
            <w:vMerge w:val="continue"/>
            <w:tcBorders>
              <w:left w:val="single" w:color="auto" w:sz="4" w:space="0"/>
              <w:bottom w:val="single" w:color="auto" w:sz="4" w:space="0"/>
              <w:right w:val="single" w:color="auto" w:sz="4" w:space="0"/>
            </w:tcBorders>
            <w:noWrap w:val="0"/>
            <w:vAlign w:val="center"/>
          </w:tcPr>
          <w:p w14:paraId="141996F3">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272" w:type="dxa"/>
            <w:vMerge w:val="continue"/>
            <w:tcBorders>
              <w:left w:val="single" w:color="auto" w:sz="4" w:space="0"/>
              <w:bottom w:val="single" w:color="auto" w:sz="4" w:space="0"/>
              <w:right w:val="single" w:color="auto" w:sz="4" w:space="0"/>
            </w:tcBorders>
            <w:noWrap w:val="0"/>
            <w:vAlign w:val="center"/>
          </w:tcPr>
          <w:p w14:paraId="0F8D754A">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577" w:type="dxa"/>
            <w:vMerge w:val="continue"/>
            <w:tcBorders>
              <w:left w:val="single" w:color="auto" w:sz="4" w:space="0"/>
              <w:bottom w:val="single" w:color="auto" w:sz="4" w:space="0"/>
              <w:right w:val="single" w:color="auto" w:sz="4" w:space="0"/>
            </w:tcBorders>
            <w:noWrap w:val="0"/>
            <w:vAlign w:val="center"/>
          </w:tcPr>
          <w:p w14:paraId="532C475F">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19" w:type="dxa"/>
            <w:vMerge w:val="continue"/>
            <w:tcBorders>
              <w:left w:val="single" w:color="auto" w:sz="4" w:space="0"/>
              <w:bottom w:val="single" w:color="auto" w:sz="4" w:space="0"/>
              <w:right w:val="single" w:color="auto" w:sz="4" w:space="0"/>
            </w:tcBorders>
            <w:noWrap w:val="0"/>
            <w:vAlign w:val="center"/>
          </w:tcPr>
          <w:p w14:paraId="45773E95">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bl>
    <w:p w14:paraId="67BD5BD2">
      <w:pPr>
        <w:pStyle w:val="5"/>
        <w:tabs>
          <w:tab w:val="left" w:pos="8360"/>
        </w:tabs>
        <w:spacing w:line="360" w:lineRule="auto"/>
        <w:jc w:val="left"/>
        <w:rPr>
          <w:rFonts w:hint="eastAsia" w:hAnsi="宋体" w:eastAsia="宋体" w:cs="宋体"/>
          <w:color w:val="auto"/>
          <w:sz w:val="24"/>
          <w:szCs w:val="24"/>
          <w:highlight w:val="none"/>
        </w:rPr>
      </w:pPr>
    </w:p>
    <w:p w14:paraId="0DA2440D">
      <w:pPr>
        <w:pStyle w:val="5"/>
        <w:tabs>
          <w:tab w:val="left" w:pos="8360"/>
        </w:tabs>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注：投标人可按合同包投标，对同一合同包内所有品目号内容投标时必须完整。评标与授标以合同包为单位。</w:t>
      </w:r>
    </w:p>
    <w:p w14:paraId="34666AFA">
      <w:pPr>
        <w:pStyle w:val="5"/>
        <w:tabs>
          <w:tab w:val="left" w:pos="8360"/>
        </w:tabs>
        <w:spacing w:line="360" w:lineRule="auto"/>
        <w:jc w:val="left"/>
        <w:rPr>
          <w:rFonts w:hint="eastAsia" w:hAnsi="宋体" w:eastAsia="宋体" w:cs="宋体"/>
          <w:color w:val="auto"/>
          <w:sz w:val="24"/>
          <w:szCs w:val="24"/>
          <w:highlight w:val="none"/>
        </w:rPr>
      </w:pPr>
    </w:p>
    <w:p w14:paraId="42548583">
      <w:pPr>
        <w:pStyle w:val="2"/>
        <w:spacing w:line="360" w:lineRule="auto"/>
        <w:ind w:firstLine="0"/>
        <w:rPr>
          <w:rFonts w:hint="eastAsia" w:ascii="宋体" w:hAnsi="宋体" w:eastAsia="宋体" w:cs="宋体"/>
          <w:b/>
          <w:color w:val="auto"/>
          <w:sz w:val="24"/>
          <w:szCs w:val="24"/>
          <w:highlight w:val="none"/>
        </w:rPr>
        <w:sectPr>
          <w:footerReference r:id="rId6" w:type="default"/>
          <w:pgSz w:w="11906" w:h="16838"/>
          <w:pgMar w:top="1440" w:right="1106" w:bottom="1290" w:left="1800" w:header="851" w:footer="992" w:gutter="0"/>
          <w:pgNumType w:start="1"/>
          <w:cols w:space="720" w:num="1"/>
          <w:docGrid w:type="lines" w:linePitch="312" w:charSpace="0"/>
        </w:sectPr>
      </w:pPr>
    </w:p>
    <w:p w14:paraId="7448564C">
      <w:pPr>
        <w:pStyle w:val="38"/>
        <w:spacing w:line="360" w:lineRule="auto"/>
        <w:jc w:val="center"/>
        <w:rPr>
          <w:rFonts w:hint="eastAsia" w:hAnsi="宋体" w:eastAsia="宋体" w:cs="宋体"/>
          <w:b/>
          <w:color w:val="auto"/>
          <w:sz w:val="32"/>
          <w:szCs w:val="32"/>
          <w:highlight w:val="none"/>
        </w:rPr>
      </w:pPr>
      <w:r>
        <w:rPr>
          <w:rFonts w:hint="eastAsia" w:hAnsi="宋体" w:eastAsia="宋体" w:cs="宋体"/>
          <w:b/>
          <w:color w:val="auto"/>
          <w:sz w:val="32"/>
          <w:szCs w:val="32"/>
          <w:highlight w:val="none"/>
        </w:rPr>
        <w:t>第二章  投标人须知</w:t>
      </w:r>
    </w:p>
    <w:p w14:paraId="0EAE8643">
      <w:pPr>
        <w:pStyle w:val="38"/>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投标人须知前附表1</w:t>
      </w:r>
    </w:p>
    <w:p w14:paraId="1C72D24B">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本须知前附表1的条款号是与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4"/>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380"/>
      </w:tblGrid>
      <w:tr w14:paraId="2021D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top"/>
          </w:tcPr>
          <w:p w14:paraId="0157DBB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1080" w:type="dxa"/>
            <w:noWrap w:val="0"/>
            <w:vAlign w:val="top"/>
          </w:tcPr>
          <w:p w14:paraId="771E8FC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7380" w:type="dxa"/>
            <w:noWrap w:val="0"/>
            <w:vAlign w:val="top"/>
          </w:tcPr>
          <w:p w14:paraId="6902AF3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编   列   内    容</w:t>
            </w:r>
          </w:p>
        </w:tc>
      </w:tr>
      <w:tr w14:paraId="268C8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center"/>
          </w:tcPr>
          <w:p w14:paraId="3BDC5FF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080" w:type="dxa"/>
            <w:noWrap w:val="0"/>
            <w:vAlign w:val="center"/>
          </w:tcPr>
          <w:p w14:paraId="1237E96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7380" w:type="dxa"/>
            <w:noWrap w:val="0"/>
            <w:vAlign w:val="center"/>
          </w:tcPr>
          <w:p w14:paraId="7ADA690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项目名称：2024年大宗针式打印机 </w:t>
            </w:r>
          </w:p>
          <w:p w14:paraId="6F1F5D9C">
            <w:pPr>
              <w:keepNext w:val="0"/>
              <w:keepLines w:val="0"/>
              <w:suppressLineNumbers w:val="0"/>
              <w:spacing w:before="0" w:beforeAutospacing="0" w:after="0" w:afterAutospacing="0" w:line="360" w:lineRule="auto"/>
              <w:ind w:left="0" w:right="0"/>
              <w:rPr>
                <w:rFonts w:hint="eastAsia" w:ascii="宋体" w:hAnsi="宋体" w:cs="宋体"/>
                <w:color w:val="auto"/>
                <w:sz w:val="24"/>
                <w:szCs w:val="24"/>
                <w:highlight w:val="none"/>
              </w:rPr>
            </w:pPr>
            <w:r>
              <w:rPr>
                <w:rFonts w:hint="eastAsia" w:ascii="宋体" w:hAnsi="宋体" w:cs="宋体"/>
                <w:color w:val="auto"/>
                <w:sz w:val="24"/>
                <w:szCs w:val="24"/>
                <w:highlight w:val="none"/>
              </w:rPr>
              <w:t>采购单位名称：厦门万翔网络商务有限公司</w:t>
            </w:r>
          </w:p>
          <w:p w14:paraId="4B9E4D9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采购单位地址：厦门市湖里区机场北路476号五楼</w:t>
            </w:r>
          </w:p>
          <w:p w14:paraId="0C8A1DB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项目内容： 2024年大宗针式打印机</w:t>
            </w:r>
          </w:p>
          <w:p w14:paraId="2E40AB1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项目编号：</w:t>
            </w:r>
            <w:r>
              <w:rPr>
                <w:rFonts w:hint="eastAsia" w:ascii="宋体" w:hAnsi="宋体" w:cs="宋体"/>
                <w:color w:val="auto"/>
                <w:sz w:val="24"/>
                <w:szCs w:val="24"/>
                <w:highlight w:val="none"/>
                <w:u w:val="single"/>
                <w:lang w:eastAsia="zh-CN"/>
              </w:rPr>
              <w:t>XM2024-DZ0025C1</w:t>
            </w:r>
          </w:p>
        </w:tc>
      </w:tr>
      <w:tr w14:paraId="3A039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900" w:type="dxa"/>
            <w:noWrap w:val="0"/>
            <w:vAlign w:val="center"/>
          </w:tcPr>
          <w:p w14:paraId="4A98CD2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080" w:type="dxa"/>
            <w:noWrap w:val="0"/>
            <w:vAlign w:val="center"/>
          </w:tcPr>
          <w:p w14:paraId="7BFB44D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380" w:type="dxa"/>
            <w:noWrap w:val="0"/>
            <w:vAlign w:val="center"/>
          </w:tcPr>
          <w:p w14:paraId="34997EE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资格标准：</w:t>
            </w:r>
          </w:p>
          <w:p w14:paraId="5F58FE8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详见第二章《投标人须知》第3条，以及第三章《招标内容及要求》有关内容。</w:t>
            </w:r>
          </w:p>
        </w:tc>
      </w:tr>
      <w:tr w14:paraId="4427F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4B42E68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080" w:type="dxa"/>
            <w:noWrap w:val="0"/>
            <w:vAlign w:val="center"/>
          </w:tcPr>
          <w:p w14:paraId="538526C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7380" w:type="dxa"/>
            <w:noWrap w:val="0"/>
            <w:vAlign w:val="center"/>
          </w:tcPr>
          <w:p w14:paraId="23B0BBE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投标有效期：投标截止之日起</w:t>
            </w:r>
            <w:r>
              <w:rPr>
                <w:rFonts w:hint="eastAsia" w:ascii="宋体" w:hAnsi="宋体" w:eastAsia="宋体" w:cs="宋体"/>
                <w:color w:val="auto"/>
                <w:sz w:val="24"/>
                <w:szCs w:val="24"/>
                <w:highlight w:val="none"/>
                <w:u w:val="single"/>
              </w:rPr>
              <w:t>90</w:t>
            </w:r>
            <w:r>
              <w:rPr>
                <w:rFonts w:hint="eastAsia" w:ascii="宋体" w:hAnsi="宋体" w:eastAsia="宋体" w:cs="宋体"/>
                <w:color w:val="auto"/>
                <w:sz w:val="24"/>
                <w:szCs w:val="24"/>
                <w:highlight w:val="none"/>
              </w:rPr>
              <w:t>个日历日。</w:t>
            </w:r>
          </w:p>
          <w:p w14:paraId="77B2E40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有效期不足将导致其投标文件被拒绝。</w:t>
            </w:r>
          </w:p>
        </w:tc>
      </w:tr>
      <w:tr w14:paraId="6C9D3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4149242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1080" w:type="dxa"/>
            <w:noWrap w:val="0"/>
            <w:vAlign w:val="center"/>
          </w:tcPr>
          <w:p w14:paraId="4F6D72C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noWrap w:val="0"/>
            <w:vAlign w:val="center"/>
          </w:tcPr>
          <w:p w14:paraId="087B1B2C">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
                <w:color w:val="auto"/>
                <w:sz w:val="24"/>
                <w:szCs w:val="24"/>
                <w:highlight w:val="none"/>
                <w:u w:val="single"/>
              </w:rPr>
            </w:pPr>
            <w:r>
              <w:rPr>
                <w:rFonts w:hint="eastAsia" w:ascii="宋体" w:hAnsi="宋体" w:eastAsia="宋体" w:cs="宋体"/>
                <w:color w:val="auto"/>
                <w:kern w:val="0"/>
                <w:sz w:val="24"/>
                <w:szCs w:val="24"/>
                <w:highlight w:val="none"/>
              </w:rPr>
              <w:t>投标文件递交地址：</w:t>
            </w:r>
            <w:r>
              <w:rPr>
                <w:rFonts w:hint="eastAsia" w:ascii="宋体" w:hAnsi="宋体" w:cs="宋体"/>
                <w:b/>
                <w:color w:val="auto"/>
                <w:sz w:val="24"/>
                <w:szCs w:val="24"/>
                <w:highlight w:val="none"/>
                <w:u w:val="single"/>
              </w:rPr>
              <w:t>厦门市湖里区云顶北路842号厦门市政务服务中心4楼信息发布大厅东侧收标处</w:t>
            </w:r>
            <w:r>
              <w:rPr>
                <w:rFonts w:hint="eastAsia" w:ascii="宋体" w:hAnsi="宋体" w:cs="宋体"/>
                <w:b/>
                <w:color w:val="auto"/>
                <w:sz w:val="24"/>
                <w:szCs w:val="24"/>
                <w:highlight w:val="none"/>
                <w:u w:val="single"/>
                <w:lang w:val="en-US" w:eastAsia="zh-CN"/>
              </w:rPr>
              <w:t>4</w:t>
            </w:r>
            <w:r>
              <w:rPr>
                <w:rFonts w:hint="eastAsia" w:ascii="宋体" w:hAnsi="宋体" w:cs="宋体"/>
                <w:b/>
                <w:color w:val="auto"/>
                <w:sz w:val="24"/>
                <w:szCs w:val="24"/>
                <w:highlight w:val="none"/>
                <w:u w:val="single"/>
              </w:rPr>
              <w:t>号收标窗口</w:t>
            </w:r>
          </w:p>
          <w:p w14:paraId="0AD8F80F">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lang w:val="en-US" w:eastAsia="zh-CN"/>
              </w:rPr>
            </w:pPr>
            <w:r>
              <w:rPr>
                <w:rFonts w:hint="eastAsia" w:ascii="宋体" w:hAnsi="宋体" w:eastAsia="宋体" w:cs="宋体"/>
                <w:color w:val="auto"/>
                <w:kern w:val="0"/>
                <w:sz w:val="24"/>
                <w:szCs w:val="24"/>
                <w:highlight w:val="none"/>
              </w:rPr>
              <w:t>接收人：</w:t>
            </w:r>
            <w:r>
              <w:rPr>
                <w:rFonts w:hint="eastAsia" w:ascii="宋体" w:hAnsi="宋体" w:cs="宋体"/>
                <w:color w:val="auto"/>
                <w:kern w:val="0"/>
                <w:sz w:val="24"/>
                <w:szCs w:val="24"/>
                <w:highlight w:val="none"/>
                <w:lang w:val="en-US" w:eastAsia="zh-CN"/>
              </w:rPr>
              <w:t>徐先生、黄小姐</w:t>
            </w:r>
          </w:p>
        </w:tc>
      </w:tr>
      <w:tr w14:paraId="28E64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249986C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1080" w:type="dxa"/>
            <w:noWrap w:val="0"/>
            <w:vAlign w:val="center"/>
          </w:tcPr>
          <w:p w14:paraId="36DFA8D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7380" w:type="dxa"/>
            <w:noWrap w:val="0"/>
            <w:vAlign w:val="center"/>
          </w:tcPr>
          <w:p w14:paraId="1557688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r>
              <w:rPr>
                <w:rFonts w:hint="eastAsia" w:ascii="宋体" w:hAnsi="宋体" w:eastAsia="宋体" w:cs="宋体"/>
                <w:color w:val="auto"/>
                <w:sz w:val="24"/>
                <w:szCs w:val="24"/>
                <w:highlight w:val="none"/>
                <w:u w:val="single"/>
              </w:rPr>
              <w:t xml:space="preserve">   0元       </w:t>
            </w:r>
          </w:p>
          <w:p w14:paraId="1367DF9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①投标保证金以转账、电汇两种形式提交（不收取现金、现金支票，不能用个人卡在银联支付系统转账，否则作未提交投标保证金处理）。</w:t>
            </w:r>
          </w:p>
          <w:p w14:paraId="2AC0E2B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②若项目存在分合同包采购的，则投标保证金应按不同的合同包号分别提交。</w:t>
            </w:r>
          </w:p>
          <w:p w14:paraId="269FF3A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③投标人为中小企业的，其投标保证金减半交纳。减半交纳投标保证金的投标人应按照招标文件格式要求在投标文件中提供《中小企业声明函》。</w:t>
            </w:r>
          </w:p>
          <w:p w14:paraId="276441A2">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④</w:t>
            </w:r>
            <w:r>
              <w:rPr>
                <w:rFonts w:hint="eastAsia" w:ascii="宋体" w:hAnsi="宋体" w:eastAsia="宋体" w:cs="宋体"/>
                <w:color w:val="auto"/>
                <w:kern w:val="0"/>
                <w:sz w:val="24"/>
                <w:szCs w:val="24"/>
                <w:highlight w:val="none"/>
              </w:rPr>
              <w:t>投标保证金应在投标截止时间前到账。</w:t>
            </w:r>
          </w:p>
          <w:p w14:paraId="2C924FB0">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未按前述规定缴交投标保证金的，投标无效。</w:t>
            </w:r>
          </w:p>
          <w:p w14:paraId="46051F8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⑤投标保证金按投标人缴交账号原路退回，遇投标人账号变更、非投标保证金款项误转进投标保证金专户等特殊情况确实无法原路退回的，需经同级政府采购监管部门核实后方可退回。</w:t>
            </w:r>
          </w:p>
        </w:tc>
      </w:tr>
      <w:tr w14:paraId="54F5E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64FF200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1080" w:type="dxa"/>
            <w:noWrap w:val="0"/>
            <w:vAlign w:val="center"/>
          </w:tcPr>
          <w:p w14:paraId="1F4F970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7380" w:type="dxa"/>
            <w:noWrap w:val="0"/>
            <w:vAlign w:val="center"/>
          </w:tcPr>
          <w:p w14:paraId="7101C01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投标文件份数：正本一份、副本四份</w:t>
            </w:r>
          </w:p>
        </w:tc>
      </w:tr>
      <w:tr w14:paraId="1833F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29F05589">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1080" w:type="dxa"/>
            <w:noWrap w:val="0"/>
            <w:vAlign w:val="center"/>
          </w:tcPr>
          <w:p w14:paraId="0A7662F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w:t>
            </w:r>
          </w:p>
        </w:tc>
        <w:tc>
          <w:tcPr>
            <w:tcW w:w="7380" w:type="dxa"/>
            <w:noWrap w:val="0"/>
            <w:vAlign w:val="center"/>
          </w:tcPr>
          <w:p w14:paraId="5F84D86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评标方法、标准及定标原则(含推荐中标候选供应商数量)：</w:t>
            </w:r>
          </w:p>
          <w:p w14:paraId="68DAD0E7">
            <w:pPr>
              <w:pStyle w:val="5"/>
              <w:keepNext w:val="0"/>
              <w:keepLines w:val="0"/>
              <w:suppressLineNumbers w:val="0"/>
              <w:spacing w:before="0" w:beforeAutospacing="0" w:after="0" w:afterAutospacing="0" w:line="360" w:lineRule="auto"/>
              <w:ind w:left="0" w:right="0"/>
              <w:rPr>
                <w:rFonts w:hint="eastAsia" w:hAnsi="宋体" w:eastAsia="宋体" w:cs="宋体"/>
                <w:color w:val="auto"/>
                <w:sz w:val="24"/>
                <w:szCs w:val="24"/>
                <w:highlight w:val="none"/>
              </w:rPr>
            </w:pPr>
            <w:r>
              <w:rPr>
                <w:rFonts w:hint="eastAsia" w:hAnsi="宋体" w:eastAsia="宋体" w:cs="宋体"/>
                <w:color w:val="auto"/>
                <w:sz w:val="24"/>
                <w:szCs w:val="24"/>
                <w:highlight w:val="none"/>
              </w:rPr>
              <w:t>详见《投标人须知前附表3》。</w:t>
            </w:r>
          </w:p>
        </w:tc>
      </w:tr>
      <w:tr w14:paraId="7423B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77896F0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1080" w:type="dxa"/>
            <w:noWrap w:val="0"/>
            <w:vAlign w:val="center"/>
          </w:tcPr>
          <w:p w14:paraId="5CFAEE4A">
            <w:pPr>
              <w:keepNext w:val="0"/>
              <w:keepLines w:val="0"/>
              <w:suppressLineNumbers w:val="0"/>
              <w:spacing w:before="0" w:beforeAutospacing="0" w:after="0" w:afterAutospacing="0" w:line="360" w:lineRule="auto"/>
              <w:ind w:left="0" w:right="-63" w:rightChars="-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w:t>
            </w:r>
          </w:p>
        </w:tc>
        <w:tc>
          <w:tcPr>
            <w:tcW w:w="7380" w:type="dxa"/>
            <w:noWrap w:val="0"/>
            <w:vAlign w:val="center"/>
          </w:tcPr>
          <w:p w14:paraId="2AED432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1ADE5306">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收费标准：</w:t>
            </w:r>
          </w:p>
          <w:tbl>
            <w:tblPr>
              <w:tblStyle w:val="14"/>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1E470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21" w:type="dxa"/>
                  <w:noWrap w:val="0"/>
                  <w:vAlign w:val="top"/>
                </w:tcPr>
                <w:p w14:paraId="0913CAF7">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中标金额(万元)</w:t>
                  </w:r>
                </w:p>
              </w:tc>
              <w:tc>
                <w:tcPr>
                  <w:tcW w:w="2700" w:type="dxa"/>
                  <w:noWrap w:val="0"/>
                  <w:vAlign w:val="top"/>
                </w:tcPr>
                <w:p w14:paraId="16DA2D19">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费率</w:t>
                  </w:r>
                </w:p>
              </w:tc>
            </w:tr>
            <w:tr w14:paraId="4FCB1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1F762978">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[0―100]</w:t>
                  </w:r>
                </w:p>
              </w:tc>
              <w:tc>
                <w:tcPr>
                  <w:tcW w:w="2700" w:type="dxa"/>
                  <w:noWrap w:val="0"/>
                  <w:vAlign w:val="top"/>
                </w:tcPr>
                <w:p w14:paraId="7D728A78">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r>
            <w:tr w14:paraId="3F60C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216E09F6">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（100－500]</w:t>
                  </w:r>
                </w:p>
              </w:tc>
              <w:tc>
                <w:tcPr>
                  <w:tcW w:w="2700" w:type="dxa"/>
                  <w:noWrap w:val="0"/>
                  <w:vAlign w:val="top"/>
                </w:tcPr>
                <w:p w14:paraId="6FEE52B9">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r>
            <w:tr w14:paraId="323F2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3ED55267">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（500-1000]</w:t>
                  </w:r>
                </w:p>
              </w:tc>
              <w:tc>
                <w:tcPr>
                  <w:tcW w:w="2700" w:type="dxa"/>
                  <w:noWrap w:val="0"/>
                  <w:vAlign w:val="top"/>
                </w:tcPr>
                <w:p w14:paraId="76F4BB8E">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0.8%</w:t>
                  </w:r>
                </w:p>
              </w:tc>
            </w:tr>
            <w:tr w14:paraId="44ED2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61A23593">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（1000-5000]</w:t>
                  </w:r>
                </w:p>
              </w:tc>
              <w:tc>
                <w:tcPr>
                  <w:tcW w:w="2700" w:type="dxa"/>
                  <w:noWrap w:val="0"/>
                  <w:vAlign w:val="top"/>
                </w:tcPr>
                <w:p w14:paraId="602ED3AB">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0.5%</w:t>
                  </w:r>
                </w:p>
              </w:tc>
            </w:tr>
            <w:tr w14:paraId="3EAC8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132BFDB2">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（5000-10000]</w:t>
                  </w:r>
                </w:p>
              </w:tc>
              <w:tc>
                <w:tcPr>
                  <w:tcW w:w="2700" w:type="dxa"/>
                  <w:noWrap w:val="0"/>
                  <w:vAlign w:val="top"/>
                </w:tcPr>
                <w:p w14:paraId="1D4B801C">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0.25%</w:t>
                  </w:r>
                </w:p>
              </w:tc>
            </w:tr>
            <w:tr w14:paraId="35B90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5771C573">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（10000-50000]</w:t>
                  </w:r>
                </w:p>
              </w:tc>
              <w:tc>
                <w:tcPr>
                  <w:tcW w:w="2700" w:type="dxa"/>
                  <w:noWrap w:val="0"/>
                  <w:vAlign w:val="top"/>
                </w:tcPr>
                <w:p w14:paraId="4CBB1174">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0.05%</w:t>
                  </w:r>
                </w:p>
              </w:tc>
            </w:tr>
            <w:tr w14:paraId="23E1B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344E0743">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（50000-100000]</w:t>
                  </w:r>
                </w:p>
              </w:tc>
              <w:tc>
                <w:tcPr>
                  <w:tcW w:w="2700" w:type="dxa"/>
                  <w:noWrap w:val="0"/>
                  <w:vAlign w:val="top"/>
                </w:tcPr>
                <w:p w14:paraId="3548207F">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0.035%</w:t>
                  </w:r>
                </w:p>
              </w:tc>
            </w:tr>
          </w:tbl>
          <w:p w14:paraId="1302687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的收取按差额定率累进法计算,由中标供应商支付。</w:t>
            </w:r>
          </w:p>
          <w:p w14:paraId="7AB0C15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中标服务费按每批次《定货单》定单金额的分别收取，中标供应商最迟在采购单位发出《定货单》之日起10个工作日内向招标代理机构缴交中标服务费，定单金额不予累加</w:t>
            </w:r>
            <w:r>
              <w:rPr>
                <w:rFonts w:hint="eastAsia" w:ascii="宋体" w:hAnsi="宋体" w:cs="宋体"/>
                <w:color w:val="auto"/>
                <w:sz w:val="24"/>
                <w:szCs w:val="24"/>
                <w:highlight w:val="none"/>
                <w:lang w:eastAsia="zh-CN"/>
              </w:rPr>
              <w:t>。</w:t>
            </w:r>
          </w:p>
          <w:p w14:paraId="2CDFAF7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2、中标供应商以转账或汇款方式提交。</w:t>
            </w:r>
          </w:p>
          <w:p w14:paraId="72EAF8E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3、中标供应商为中小企业的，其</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按照</w:t>
            </w:r>
            <w:r>
              <w:rPr>
                <w:rFonts w:hint="eastAsia" w:ascii="宋体" w:hAnsi="宋体" w:eastAsia="宋体" w:cs="宋体"/>
                <w:color w:val="auto"/>
                <w:sz w:val="24"/>
                <w:szCs w:val="24"/>
                <w:highlight w:val="none"/>
                <w:lang w:val="en-US" w:eastAsia="zh-CN"/>
              </w:rPr>
              <w:t>上述</w:t>
            </w:r>
            <w:r>
              <w:rPr>
                <w:rFonts w:hint="eastAsia" w:ascii="宋体" w:hAnsi="宋体" w:eastAsia="宋体" w:cs="宋体"/>
                <w:color w:val="auto"/>
                <w:sz w:val="24"/>
                <w:szCs w:val="24"/>
                <w:highlight w:val="none"/>
              </w:rPr>
              <w:t>服务收费标准下浮10%进行支付。</w:t>
            </w:r>
          </w:p>
        </w:tc>
      </w:tr>
      <w:tr w14:paraId="39723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3E01362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5CE081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0"/>
            <w:vAlign w:val="center"/>
          </w:tcPr>
          <w:p w14:paraId="7091773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监督管理部门：厦门市财政局。</w:t>
            </w:r>
          </w:p>
        </w:tc>
      </w:tr>
      <w:tr w14:paraId="7A38E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10C036C1">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8EF1A1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380" w:type="dxa"/>
            <w:tcBorders>
              <w:top w:val="single" w:color="auto" w:sz="4" w:space="0"/>
              <w:left w:val="single" w:color="auto" w:sz="4" w:space="0"/>
              <w:bottom w:val="single" w:color="auto" w:sz="4" w:space="0"/>
              <w:right w:val="single" w:color="auto" w:sz="4" w:space="0"/>
            </w:tcBorders>
            <w:noWrap w:val="0"/>
            <w:vAlign w:val="center"/>
          </w:tcPr>
          <w:p w14:paraId="2019380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是否允许进口产品参加本采购项目：</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否</w:t>
            </w:r>
          </w:p>
        </w:tc>
      </w:tr>
    </w:tbl>
    <w:p w14:paraId="2B489D84">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7B634774">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4D067B9D">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128A2FCA">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6F44385F">
      <w:pPr>
        <w:spacing w:line="360" w:lineRule="auto"/>
        <w:jc w:val="center"/>
        <w:rPr>
          <w:rFonts w:hint="eastAsia" w:ascii="宋体" w:hAnsi="宋体" w:eastAsia="宋体" w:cs="宋体"/>
          <w:b/>
          <w:bCs/>
          <w:color w:val="auto"/>
          <w:sz w:val="32"/>
          <w:szCs w:val="32"/>
          <w:highlight w:val="none"/>
          <w:u w:val="single"/>
        </w:rPr>
      </w:pPr>
      <w:r>
        <w:rPr>
          <w:rFonts w:hint="eastAsia" w:ascii="宋体" w:hAnsi="宋体" w:eastAsia="宋体" w:cs="宋体"/>
          <w:b/>
          <w:bCs/>
          <w:color w:val="auto"/>
          <w:sz w:val="32"/>
          <w:szCs w:val="32"/>
          <w:highlight w:val="none"/>
          <w:u w:val="single"/>
        </w:rPr>
        <w:t>投标人须知前附表2:资格性、符合性检查表</w:t>
      </w:r>
    </w:p>
    <w:p w14:paraId="01CD73E3">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本须知前附表2集中列示了符合性检查的所有条款，其内容是评标委员会在评审过程中判断投标人的投标是否有效的重要依据。本须知前附表</w:t>
      </w:r>
      <w:r>
        <w:rPr>
          <w:rFonts w:hint="default" w:ascii="宋体" w:hAnsi="宋体" w:cs="宋体"/>
          <w:color w:val="auto"/>
          <w:sz w:val="24"/>
          <w:szCs w:val="24"/>
          <w:highlight w:val="none"/>
        </w:rPr>
        <w:t>2</w:t>
      </w:r>
      <w:r>
        <w:rPr>
          <w:rFonts w:hint="eastAsia" w:ascii="宋体" w:hAnsi="宋体" w:eastAsia="宋体" w:cs="宋体"/>
          <w:color w:val="auto"/>
          <w:sz w:val="24"/>
          <w:szCs w:val="24"/>
          <w:highlight w:val="none"/>
        </w:rPr>
        <w:t>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4"/>
        <w:gridCol w:w="683"/>
        <w:gridCol w:w="1400"/>
        <w:gridCol w:w="5932"/>
      </w:tblGrid>
      <w:tr w14:paraId="1DCA9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noWrap w:val="0"/>
            <w:vAlign w:val="top"/>
          </w:tcPr>
          <w:p w14:paraId="67B58192">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资格性要求</w:t>
            </w:r>
          </w:p>
        </w:tc>
      </w:tr>
      <w:tr w14:paraId="29F0B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bottom w:val="single" w:color="auto" w:sz="4" w:space="0"/>
            </w:tcBorders>
            <w:noWrap w:val="0"/>
            <w:vAlign w:val="center"/>
          </w:tcPr>
          <w:p w14:paraId="09F3E1C7">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w:t>
            </w:r>
          </w:p>
          <w:p w14:paraId="025064A2">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号</w:t>
            </w:r>
          </w:p>
        </w:tc>
        <w:tc>
          <w:tcPr>
            <w:tcW w:w="396" w:type="pct"/>
            <w:tcBorders>
              <w:bottom w:val="single" w:color="auto" w:sz="4" w:space="0"/>
            </w:tcBorders>
            <w:noWrap w:val="0"/>
            <w:vAlign w:val="center"/>
          </w:tcPr>
          <w:p w14:paraId="0B1E3BA5">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章</w:t>
            </w:r>
          </w:p>
        </w:tc>
        <w:tc>
          <w:tcPr>
            <w:tcW w:w="812" w:type="pct"/>
            <w:tcBorders>
              <w:bottom w:val="single" w:color="auto" w:sz="4" w:space="0"/>
            </w:tcBorders>
            <w:noWrap w:val="0"/>
            <w:vAlign w:val="center"/>
          </w:tcPr>
          <w:p w14:paraId="6987C4A1">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条款号</w:t>
            </w:r>
          </w:p>
        </w:tc>
        <w:tc>
          <w:tcPr>
            <w:tcW w:w="3440" w:type="pct"/>
            <w:tcBorders>
              <w:bottom w:val="single" w:color="auto" w:sz="4" w:space="0"/>
            </w:tcBorders>
            <w:noWrap w:val="0"/>
            <w:vAlign w:val="center"/>
          </w:tcPr>
          <w:p w14:paraId="3154FFDB">
            <w:pPr>
              <w:keepNext w:val="0"/>
              <w:keepLines w:val="0"/>
              <w:suppressLineNumbers w:val="0"/>
              <w:tabs>
                <w:tab w:val="left" w:pos="2848"/>
              </w:tabs>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具体内容</w:t>
            </w:r>
          </w:p>
        </w:tc>
      </w:tr>
      <w:tr w14:paraId="2787E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0088E11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3CD154D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0A976A5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440" w:type="pct"/>
            <w:tcBorders>
              <w:top w:val="single" w:color="auto" w:sz="4" w:space="0"/>
              <w:left w:val="single" w:color="auto" w:sz="4" w:space="0"/>
              <w:bottom w:val="single" w:color="auto" w:sz="4" w:space="0"/>
              <w:right w:val="single" w:color="auto" w:sz="4" w:space="0"/>
            </w:tcBorders>
            <w:noWrap w:val="0"/>
            <w:vAlign w:val="center"/>
          </w:tcPr>
          <w:p w14:paraId="580C2CD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合格的投标人</w:t>
            </w:r>
          </w:p>
          <w:p w14:paraId="1456AE1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具体内容详见第二章第3条“合格的投标人”。</w:t>
            </w:r>
          </w:p>
        </w:tc>
      </w:tr>
      <w:tr w14:paraId="6F29F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429150F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16B305A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69D20BC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3440" w:type="pct"/>
            <w:tcBorders>
              <w:top w:val="single" w:color="auto" w:sz="4" w:space="0"/>
              <w:left w:val="single" w:color="auto" w:sz="4" w:space="0"/>
              <w:bottom w:val="single" w:color="auto" w:sz="4" w:space="0"/>
              <w:right w:val="single" w:color="auto" w:sz="4" w:space="0"/>
            </w:tcBorders>
            <w:noWrap w:val="0"/>
            <w:vAlign w:val="center"/>
          </w:tcPr>
          <w:p w14:paraId="5F23A2B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340739F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投标人应具备《中华人民共和国政府采购法》第二十二条第一款规定的条件，并提供以下材料：</w:t>
            </w:r>
          </w:p>
          <w:p w14:paraId="459F2B6E">
            <w:pPr>
              <w:keepNext w:val="0"/>
              <w:keepLines w:val="0"/>
              <w:suppressLineNumbers w:val="0"/>
              <w:spacing w:before="0" w:beforeAutospacing="0" w:after="0" w:afterAutospacing="0" w:line="360" w:lineRule="auto"/>
              <w:ind w:left="0" w:right="0" w:firstLine="319" w:firstLineChars="13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（1）法人或者其他组织的营业执照等证明文件，自然人的身份证明；</w:t>
            </w:r>
          </w:p>
          <w:p w14:paraId="39DB870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投标人是法人或者其他组织的应提供营业执照等证明文件，投标人是自然人的应提供有效的自然人身份证明。</w:t>
            </w:r>
          </w:p>
          <w:p w14:paraId="6984B012">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kern w:val="0"/>
                <w:sz w:val="24"/>
                <w:szCs w:val="24"/>
                <w:highlight w:val="none"/>
              </w:rPr>
              <w:t>经审计的上一年度的年度财务报告（</w:t>
            </w:r>
            <w:r>
              <w:rPr>
                <w:rFonts w:hint="eastAsia" w:ascii="宋体" w:hAnsi="宋体" w:eastAsia="宋体" w:cs="宋体"/>
                <w:color w:val="auto"/>
                <w:sz w:val="24"/>
                <w:szCs w:val="24"/>
                <w:highlight w:val="none"/>
              </w:rPr>
              <w:t>投标人上一年度的财务报告尚未完成编制且投标截止时间在每年1月1日至4月30日的，可提供上上年度经审计的年度财务报告。</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及依法缴纳税收和社会保障资金的相关材料；若投标人因新注册成立等原因无法提供上述证明材料的，应在投标文件中提交如实的情况说明；预算金额500万元以下的政府采购项目基本资格条件采取“信用承诺制”，投标人提供资格承诺函(格式见附件)的即可参加采购活动，在投标文件中无需再提供财务状况报告、依法缴纳税收和社会保障资金的相关证明材料。投标人应当遵循诚实信用原则，不得作虚假承诺，投标人承诺不实的，属于提供虚假材料谋取中标、成交，应依法承担相应的法律责任。</w:t>
            </w:r>
          </w:p>
          <w:p w14:paraId="69AA64D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财务状况报告指“四表一注”，即资产负债表、利润表、现金流量表、所有者权益变动表及其附注，或基本开户银行出具的资信证明。</w:t>
            </w:r>
          </w:p>
          <w:p w14:paraId="0B9369C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法缴纳税收和社会保障资金的证明材料主要是投标人税务登记证、缴纳增值税或营业税或企业所得税的凭据，缴纳社会保险的凭据（专用收据或社会保险缴纳清单）。依法免税或不需要缴纳社会保障资金的投标人，应提供相应文件证 明其依法免税或不需要缴纳社会保障资金。根据《财政部关于印发&lt;小企业会计准则&gt;的通知》（财会〔2011〕17号）的规定，小企业的财务报表包括资产负债表、利润表、现金流量表及其附注，可以不含所有者权益变动表。</w:t>
            </w:r>
          </w:p>
          <w:p w14:paraId="5968A2D3">
            <w:pPr>
              <w:keepNext w:val="0"/>
              <w:keepLines w:val="0"/>
              <w:suppressLineNumbers w:val="0"/>
              <w:spacing w:before="0" w:beforeAutospacing="0" w:after="0" w:afterAutospacing="0" w:line="360" w:lineRule="auto"/>
              <w:ind w:left="0" w:right="0" w:firstLine="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（3）具备履行合同所必需的设备和专业技术能力的证明材料。</w:t>
            </w:r>
          </w:p>
          <w:p w14:paraId="67A96BD1">
            <w:pPr>
              <w:keepNext w:val="0"/>
              <w:keepLines w:val="0"/>
              <w:suppressLineNumbers w:val="0"/>
              <w:spacing w:before="0" w:beforeAutospacing="0" w:after="0" w:afterAutospacing="0" w:line="360" w:lineRule="auto"/>
              <w:ind w:left="0" w:right="0" w:firstLine="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（4）参加政府采购活动前3年内在经营活动中没有重大违法记录的书面声明；投标人自行对其有无行贿犯罪情形进行书面说明或书面承诺。</w:t>
            </w:r>
          </w:p>
          <w:p w14:paraId="54A78D7A">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（5）具备法律、行政法规规定的其他条件的证明材料。</w:t>
            </w:r>
          </w:p>
          <w:p w14:paraId="470484CA">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（6）投标人已提供加载有统一社会信用代码营业执照的，视为已提供税务登记证和组织机构代码证。</w:t>
            </w:r>
          </w:p>
        </w:tc>
      </w:tr>
      <w:tr w14:paraId="7A459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354BC96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05CC157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1AFCBB5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3440" w:type="pct"/>
            <w:tcBorders>
              <w:top w:val="single" w:color="auto" w:sz="4" w:space="0"/>
              <w:left w:val="single" w:color="auto" w:sz="4" w:space="0"/>
              <w:bottom w:val="single" w:color="auto" w:sz="4" w:space="0"/>
              <w:right w:val="single" w:color="auto" w:sz="4" w:space="0"/>
            </w:tcBorders>
            <w:noWrap w:val="0"/>
            <w:vAlign w:val="center"/>
          </w:tcPr>
          <w:p w14:paraId="795AFD9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3.5如本项目接受联合体投标，则两个或者两个以上投标人可以组成一个投标联合体，以一个投标人的身份投标。</w:t>
            </w:r>
          </w:p>
          <w:p w14:paraId="29BD1B2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（1）以联合体形式参加投标的，联合体各方均应当符合合格的投标人相关规定。</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根据采购项目的特殊要求规定投标人特定条件的，联合体各方中至少应当有一方符合</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规定的特定条件，如联合体各方中没有一方符合特定条件的，该联合体投标无效。</w:t>
            </w:r>
          </w:p>
          <w:p w14:paraId="25E9312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141CED1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（3）项目如涉及资质要求，该部分内容应由联合体中具有该资质要求的投标人承担。联合体协议及签订的采购合同应包含此项内容。</w:t>
            </w:r>
          </w:p>
          <w:p w14:paraId="11313BF1">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（4）联合体中有同类资质的投标人按照联合体分工承担相同工作的，应当按照资质等级较低的投标人确定资质等级。</w:t>
            </w:r>
          </w:p>
        </w:tc>
      </w:tr>
      <w:tr w14:paraId="40515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005C90C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7329C8F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1ADB74F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3440" w:type="pct"/>
            <w:tcBorders>
              <w:top w:val="single" w:color="auto" w:sz="4" w:space="0"/>
              <w:left w:val="single" w:color="auto" w:sz="4" w:space="0"/>
              <w:bottom w:val="single" w:color="auto" w:sz="4" w:space="0"/>
              <w:right w:val="single" w:color="auto" w:sz="4" w:space="0"/>
            </w:tcBorders>
            <w:noWrap w:val="0"/>
            <w:vAlign w:val="center"/>
          </w:tcPr>
          <w:p w14:paraId="059FAC5E">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tc>
      </w:tr>
      <w:tr w14:paraId="1D36D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46AD8F4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01EFF0D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66C1E68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3440" w:type="pct"/>
            <w:tcBorders>
              <w:top w:val="single" w:color="auto" w:sz="4" w:space="0"/>
              <w:left w:val="single" w:color="auto" w:sz="4" w:space="0"/>
              <w:bottom w:val="single" w:color="auto" w:sz="4" w:space="0"/>
              <w:right w:val="single" w:color="auto" w:sz="4" w:space="0"/>
            </w:tcBorders>
            <w:noWrap w:val="0"/>
            <w:vAlign w:val="center"/>
          </w:tcPr>
          <w:p w14:paraId="5971D80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3.7投标代理人在同一个项目中只能接受一个投标人的委托参加投标。</w:t>
            </w:r>
          </w:p>
        </w:tc>
      </w:tr>
      <w:tr w14:paraId="441EC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0918E85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749762B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top w:val="single" w:color="auto" w:sz="4" w:space="0"/>
              <w:left w:val="single" w:color="auto" w:sz="4" w:space="0"/>
              <w:bottom w:val="single" w:color="auto" w:sz="4" w:space="0"/>
              <w:right w:val="single" w:color="auto" w:sz="4" w:space="0"/>
            </w:tcBorders>
            <w:noWrap w:val="0"/>
            <w:vAlign w:val="center"/>
          </w:tcPr>
          <w:p w14:paraId="57EB359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tcBorders>
              <w:top w:val="single" w:color="auto" w:sz="4" w:space="0"/>
              <w:left w:val="single" w:color="auto" w:sz="4" w:space="0"/>
              <w:bottom w:val="single" w:color="auto" w:sz="4" w:space="0"/>
              <w:right w:val="single" w:color="auto" w:sz="4" w:space="0"/>
            </w:tcBorders>
            <w:noWrap w:val="0"/>
            <w:vAlign w:val="center"/>
          </w:tcPr>
          <w:p w14:paraId="7572EB23">
            <w:pPr>
              <w:keepNext w:val="0"/>
              <w:keepLines w:val="0"/>
              <w:suppressLineNumbers w:val="0"/>
              <w:tabs>
                <w:tab w:val="left" w:pos="630"/>
              </w:tabs>
              <w:spacing w:before="0" w:beforeAutospacing="0" w:after="0" w:afterAutospacing="0" w:line="360" w:lineRule="auto"/>
              <w:ind w:left="0" w:right="0"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信用记录按照下列规定执行：信用记录的查询及审查：①由资格审查小组评审当日通过“信用中国”网站（www.creditchina.gov.cn）、中国政府采购网（www.ccgp.gov.cn）、“信用厦门”网站（credit.xm.gov.cn）查询并打印投标人信用记录（以下简称：“资格审查小组的查询结果”）。②查询结果存在投标人（包括联合体各方，联合体成员存在不良记录的，视同联合体存在不良信用记录，认定联合体资格审查不合格）应被拒绝参与政府采购活动相关信息的，其资格审查不合格。</w:t>
            </w:r>
          </w:p>
        </w:tc>
      </w:tr>
      <w:tr w14:paraId="6EB70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56EF920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6B00670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top w:val="single" w:color="auto" w:sz="4" w:space="0"/>
              <w:left w:val="single" w:color="auto" w:sz="4" w:space="0"/>
              <w:bottom w:val="single" w:color="auto" w:sz="4" w:space="0"/>
              <w:right w:val="single" w:color="auto" w:sz="4" w:space="0"/>
            </w:tcBorders>
            <w:noWrap w:val="0"/>
            <w:vAlign w:val="center"/>
          </w:tcPr>
          <w:p w14:paraId="6BC89C5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tcBorders>
              <w:top w:val="single" w:color="auto" w:sz="4" w:space="0"/>
              <w:left w:val="single" w:color="auto" w:sz="4" w:space="0"/>
              <w:bottom w:val="single" w:color="auto" w:sz="4" w:space="0"/>
              <w:right w:val="single" w:color="auto" w:sz="4" w:space="0"/>
            </w:tcBorders>
            <w:noWrap w:val="0"/>
            <w:vAlign w:val="center"/>
          </w:tcPr>
          <w:p w14:paraId="045AF753">
            <w:pPr>
              <w:keepNext w:val="0"/>
              <w:keepLines w:val="0"/>
              <w:widowControl w:val="0"/>
              <w:suppressLineNumbers w:val="0"/>
              <w:tabs>
                <w:tab w:val="left" w:pos="630"/>
              </w:tabs>
              <w:spacing w:before="0" w:beforeAutospacing="0" w:after="0" w:afterAutospacing="0" w:line="360" w:lineRule="auto"/>
              <w:ind w:left="0" w:right="0" w:firstLine="560"/>
              <w:jc w:val="both"/>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1"/>
                <w:szCs w:val="21"/>
                <w:highlight w:val="none"/>
                <w:lang w:val="en-US" w:eastAsia="zh-CN" w:bidi="ar"/>
              </w:rPr>
              <w:t>*1、投标人应提供工商营业执照（副本）（加盖公章）的复印件，提供税务登记证及组织机构代码证复印件。投标人已提供加载有统一社会信用代码营业执照的，视为已提供税务登记证和组织机构代码证。</w:t>
            </w:r>
          </w:p>
        </w:tc>
      </w:tr>
      <w:tr w14:paraId="3D485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0D70B69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96" w:type="pct"/>
            <w:tcBorders>
              <w:top w:val="single" w:color="auto" w:sz="4" w:space="0"/>
              <w:left w:val="single" w:color="auto" w:sz="4" w:space="0"/>
              <w:bottom w:val="single" w:color="auto" w:sz="4" w:space="0"/>
              <w:right w:val="single" w:color="auto" w:sz="4" w:space="0"/>
            </w:tcBorders>
            <w:noWrap w:val="0"/>
            <w:vAlign w:val="center"/>
          </w:tcPr>
          <w:p w14:paraId="2E77771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top w:val="single" w:color="auto" w:sz="4" w:space="0"/>
              <w:left w:val="single" w:color="auto" w:sz="4" w:space="0"/>
              <w:bottom w:val="single" w:color="auto" w:sz="4" w:space="0"/>
              <w:right w:val="single" w:color="auto" w:sz="4" w:space="0"/>
            </w:tcBorders>
            <w:noWrap w:val="0"/>
            <w:vAlign w:val="center"/>
          </w:tcPr>
          <w:p w14:paraId="40B1A13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tcBorders>
              <w:top w:val="single" w:color="auto" w:sz="4" w:space="0"/>
              <w:left w:val="single" w:color="auto" w:sz="4" w:space="0"/>
              <w:bottom w:val="single" w:color="auto" w:sz="4" w:space="0"/>
              <w:right w:val="single" w:color="auto" w:sz="4" w:space="0"/>
            </w:tcBorders>
            <w:noWrap w:val="0"/>
            <w:vAlign w:val="center"/>
          </w:tcPr>
          <w:p w14:paraId="5BD3183E">
            <w:pPr>
              <w:keepNext w:val="0"/>
              <w:keepLines w:val="0"/>
              <w:widowControl w:val="0"/>
              <w:suppressLineNumbers w:val="0"/>
              <w:spacing w:before="0" w:beforeAutospacing="0" w:after="0" w:afterAutospacing="0" w:line="360" w:lineRule="auto"/>
              <w:ind w:left="0" w:right="0" w:firstLine="422" w:firstLineChars="200"/>
              <w:jc w:val="both"/>
              <w:rPr>
                <w:rFonts w:hint="eastAsia" w:ascii="宋体" w:hAnsi="宋体" w:eastAsia="宋体" w:cs="Times New Roman"/>
                <w:b/>
                <w:bCs w:val="0"/>
                <w:color w:val="auto"/>
                <w:kern w:val="2"/>
                <w:sz w:val="21"/>
                <w:szCs w:val="21"/>
                <w:highlight w:val="none"/>
              </w:rPr>
            </w:pPr>
            <w:r>
              <w:rPr>
                <w:rFonts w:hint="eastAsia" w:ascii="宋体" w:hAnsi="宋体" w:eastAsia="宋体" w:cs="宋体"/>
                <w:b/>
                <w:bCs w:val="0"/>
                <w:color w:val="auto"/>
                <w:kern w:val="2"/>
                <w:sz w:val="21"/>
                <w:szCs w:val="21"/>
                <w:highlight w:val="none"/>
                <w:lang w:val="en-US" w:eastAsia="zh-CN" w:bidi="ar"/>
              </w:rPr>
              <w:t>*2、投标人全权代表若不是单位负责人，应提供单位授权书原件，并提供被授权代表身份证复印件。</w:t>
            </w:r>
          </w:p>
          <w:p w14:paraId="5D4D7C5A">
            <w:pPr>
              <w:keepNext w:val="0"/>
              <w:keepLines w:val="0"/>
              <w:suppressLineNumbers w:val="0"/>
              <w:tabs>
                <w:tab w:val="left" w:pos="630"/>
              </w:tabs>
              <w:spacing w:before="0" w:beforeAutospacing="0" w:after="0" w:afterAutospacing="0" w:line="360" w:lineRule="auto"/>
              <w:ind w:left="0" w:right="0" w:firstLine="560"/>
              <w:rPr>
                <w:rFonts w:hint="eastAsia" w:ascii="宋体" w:hAnsi="宋体" w:eastAsia="宋体" w:cs="宋体"/>
                <w:color w:val="auto"/>
                <w:sz w:val="24"/>
                <w:szCs w:val="24"/>
                <w:highlight w:val="none"/>
              </w:rPr>
            </w:pPr>
          </w:p>
        </w:tc>
      </w:tr>
      <w:tr w14:paraId="6B1F0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tcBorders>
              <w:top w:val="single" w:color="auto" w:sz="4" w:space="0"/>
              <w:left w:val="single" w:color="auto" w:sz="4" w:space="0"/>
              <w:bottom w:val="single" w:color="auto" w:sz="4" w:space="0"/>
              <w:right w:val="single" w:color="auto" w:sz="4" w:space="0"/>
            </w:tcBorders>
            <w:noWrap w:val="0"/>
            <w:vAlign w:val="top"/>
          </w:tcPr>
          <w:p w14:paraId="30A4C7C9">
            <w:pPr>
              <w:keepNext w:val="0"/>
              <w:keepLines w:val="0"/>
              <w:suppressLineNumbers w:val="0"/>
              <w:spacing w:before="0" w:beforeAutospacing="0" w:after="0" w:afterAutospacing="0" w:line="360" w:lineRule="auto"/>
              <w:ind w:left="0" w:right="0" w:firstLine="3373" w:firstLineChars="14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符合性要求</w:t>
            </w:r>
          </w:p>
        </w:tc>
      </w:tr>
      <w:tr w14:paraId="1A899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51601B8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4EAC310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章</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02C5F4A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3440" w:type="pct"/>
            <w:tcBorders>
              <w:top w:val="single" w:color="auto" w:sz="4" w:space="0"/>
              <w:left w:val="single" w:color="auto" w:sz="4" w:space="0"/>
              <w:bottom w:val="single" w:color="auto" w:sz="4" w:space="0"/>
              <w:right w:val="single" w:color="auto" w:sz="4" w:space="0"/>
            </w:tcBorders>
            <w:noWrap w:val="0"/>
            <w:vAlign w:val="center"/>
          </w:tcPr>
          <w:p w14:paraId="540FB25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3AFC5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7BC62AC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7F4040A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0EE0F71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3440" w:type="pct"/>
            <w:tcBorders>
              <w:top w:val="single" w:color="auto" w:sz="4" w:space="0"/>
              <w:left w:val="single" w:color="auto" w:sz="4" w:space="0"/>
              <w:bottom w:val="single" w:color="auto" w:sz="4" w:space="0"/>
              <w:right w:val="single" w:color="auto" w:sz="4" w:space="0"/>
            </w:tcBorders>
            <w:noWrap w:val="0"/>
            <w:vAlign w:val="top"/>
          </w:tcPr>
          <w:p w14:paraId="18CEC71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投标人的投标文件未按规定的投标截止时间之前提交的，其投标将被拒绝。</w:t>
            </w:r>
          </w:p>
        </w:tc>
      </w:tr>
      <w:tr w14:paraId="449DB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2DB7A90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3E7BE8A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6C2AE8A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3440" w:type="pct"/>
            <w:tcBorders>
              <w:top w:val="single" w:color="auto" w:sz="4" w:space="0"/>
              <w:left w:val="single" w:color="auto" w:sz="4" w:space="0"/>
              <w:bottom w:val="single" w:color="auto" w:sz="4" w:space="0"/>
              <w:right w:val="single" w:color="auto" w:sz="4" w:space="0"/>
            </w:tcBorders>
            <w:noWrap w:val="0"/>
            <w:vAlign w:val="center"/>
          </w:tcPr>
          <w:p w14:paraId="731F65A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3.2投标人应遵守并符合中国的有关法律、法规和规章的规定，同时其投标货物或服务也应符合中国的有关法律、法规和规章的规定。认可本须知中的规定。</w:t>
            </w:r>
          </w:p>
        </w:tc>
      </w:tr>
      <w:tr w14:paraId="0475A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60864FE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57739BD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3E7D815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3440" w:type="pct"/>
            <w:tcBorders>
              <w:top w:val="single" w:color="auto" w:sz="4" w:space="0"/>
              <w:left w:val="single" w:color="auto" w:sz="4" w:space="0"/>
              <w:bottom w:val="single" w:color="auto" w:sz="4" w:space="0"/>
              <w:right w:val="single" w:color="auto" w:sz="4" w:space="0"/>
            </w:tcBorders>
            <w:noWrap w:val="0"/>
            <w:vAlign w:val="center"/>
          </w:tcPr>
          <w:p w14:paraId="7211006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3.3一个投标人只能提交一个投标文件。如果投标人之间存在下列互为关联关系的情形之一的，不得同时参加本项目同一合同包投标：</w:t>
            </w:r>
          </w:p>
          <w:p w14:paraId="4B6248D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(1)法定代表人、单位负责人为同一人或夫妻关系的不同投标人；</w:t>
            </w:r>
          </w:p>
          <w:p w14:paraId="5F3B7C2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(2)存在直接控股、管理关系的不同投标人；</w:t>
            </w:r>
          </w:p>
          <w:p w14:paraId="111BDF6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(3)均为同一家母公司直接或间接持股50％及以上的被投资公司。</w:t>
            </w:r>
          </w:p>
        </w:tc>
      </w:tr>
      <w:tr w14:paraId="26629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73014ED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31C9E44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4006D2E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3440" w:type="pct"/>
            <w:tcBorders>
              <w:top w:val="single" w:color="auto" w:sz="4" w:space="0"/>
              <w:left w:val="single" w:color="auto" w:sz="4" w:space="0"/>
              <w:bottom w:val="single" w:color="auto" w:sz="4" w:space="0"/>
              <w:right w:val="single" w:color="auto" w:sz="4" w:space="0"/>
            </w:tcBorders>
            <w:noWrap w:val="0"/>
            <w:vAlign w:val="center"/>
          </w:tcPr>
          <w:p w14:paraId="73B986D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tc>
      </w:tr>
      <w:tr w14:paraId="4A304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7E422F6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610763E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4800CB3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3440" w:type="pct"/>
            <w:tcBorders>
              <w:top w:val="single" w:color="auto" w:sz="4" w:space="0"/>
              <w:left w:val="single" w:color="auto" w:sz="4" w:space="0"/>
              <w:bottom w:val="single" w:color="auto" w:sz="4" w:space="0"/>
              <w:right w:val="single" w:color="auto" w:sz="4" w:space="0"/>
            </w:tcBorders>
            <w:noWrap w:val="0"/>
            <w:vAlign w:val="center"/>
          </w:tcPr>
          <w:p w14:paraId="0674B3F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3.8投标人存在下列情形之一的，将被认定为串通投标行为并作无效投标处理：</w:t>
            </w:r>
          </w:p>
          <w:p w14:paraId="360897F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（1）投标人之间协商投标报价等投标文件的实质性内容；</w:t>
            </w:r>
          </w:p>
          <w:p w14:paraId="5E54743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（2）投标人之间约定中标供应商；</w:t>
            </w:r>
          </w:p>
          <w:p w14:paraId="17AE0D7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（3）投标人之间约定部分投标人放弃投标或者中标；</w:t>
            </w:r>
          </w:p>
          <w:p w14:paraId="22C29E2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（4）属于同一集团、协会、商会等组织成员的投标人按照该组织要求协同投标；</w:t>
            </w:r>
          </w:p>
          <w:p w14:paraId="726AFFB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（5）投标人之间为谋取中标或者排斥特定投标人而采取的其他联合行动；</w:t>
            </w:r>
          </w:p>
          <w:p w14:paraId="4CB84DB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（6）不同投标人的投标文件由同一单位或者个人编制；</w:t>
            </w:r>
          </w:p>
          <w:p w14:paraId="086FCCD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（7）不同投标人委托同一单位或者个人办理投标事宜；</w:t>
            </w:r>
          </w:p>
          <w:p w14:paraId="08D2C4F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（8）不同投标人的投标文件载明的项目管理成员或者联系人员为同一人；</w:t>
            </w:r>
          </w:p>
          <w:p w14:paraId="41215A3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（9）不同投标人的投标文件异常一致或者投标报价呈规律性差异；</w:t>
            </w:r>
          </w:p>
          <w:p w14:paraId="4BB9367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（10）不同投标人的投标文件相互混装；</w:t>
            </w:r>
          </w:p>
          <w:p w14:paraId="019C75E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（11）不同投标人的投标保证金从同一单位或者个人的账户转出。</w:t>
            </w:r>
          </w:p>
          <w:p w14:paraId="0DFAA75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（12）不同投标人的投标文件错、漏之处一致或雷同，且不能合理解释的；</w:t>
            </w:r>
          </w:p>
          <w:p w14:paraId="541648D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（13）不同的投标人的法定代表人、委托代理人等由同一个单位缴纳社会保险的；</w:t>
            </w:r>
          </w:p>
          <w:p w14:paraId="2AF7263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（14）由同一人或分别由几个有利害关系的人携带两个以上（含两个）投标人的企业资料参与资格审查、领取招标资料，或代表两个以上（含两个）投标人参加招标答疑会、交纳或退还投标保证金、开标的；</w:t>
            </w:r>
          </w:p>
          <w:p w14:paraId="439A57E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（15）有关法律、法规或规章规定的其他串通投标行为。</w:t>
            </w:r>
          </w:p>
        </w:tc>
      </w:tr>
      <w:tr w14:paraId="5B5E1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4C1E585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0FF1797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372A1F6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w:t>
            </w:r>
          </w:p>
        </w:tc>
        <w:tc>
          <w:tcPr>
            <w:tcW w:w="3440" w:type="pct"/>
            <w:tcBorders>
              <w:top w:val="single" w:color="auto" w:sz="4" w:space="0"/>
              <w:left w:val="single" w:color="auto" w:sz="4" w:space="0"/>
              <w:bottom w:val="single" w:color="auto" w:sz="4" w:space="0"/>
              <w:right w:val="single" w:color="auto" w:sz="4" w:space="0"/>
            </w:tcBorders>
            <w:noWrap w:val="0"/>
            <w:vAlign w:val="top"/>
          </w:tcPr>
          <w:p w14:paraId="5B1E1211">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tc>
      </w:tr>
      <w:tr w14:paraId="5CB19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7F02F0E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21FB6E2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475C0E1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w:t>
            </w:r>
          </w:p>
        </w:tc>
        <w:tc>
          <w:tcPr>
            <w:tcW w:w="3440" w:type="pct"/>
            <w:tcBorders>
              <w:top w:val="single" w:color="auto" w:sz="4" w:space="0"/>
              <w:left w:val="single" w:color="auto" w:sz="4" w:space="0"/>
              <w:bottom w:val="single" w:color="auto" w:sz="4" w:space="0"/>
              <w:right w:val="single" w:color="auto" w:sz="4" w:space="0"/>
            </w:tcBorders>
            <w:noWrap w:val="0"/>
            <w:vAlign w:val="top"/>
          </w:tcPr>
          <w:p w14:paraId="24C25134">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tc>
      </w:tr>
      <w:tr w14:paraId="2CE5A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6C1A23F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301DD1C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7415996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3440" w:type="pct"/>
            <w:tcBorders>
              <w:top w:val="single" w:color="auto" w:sz="4" w:space="0"/>
              <w:left w:val="single" w:color="auto" w:sz="4" w:space="0"/>
              <w:bottom w:val="single" w:color="auto" w:sz="4" w:space="0"/>
              <w:right w:val="single" w:color="auto" w:sz="4" w:space="0"/>
            </w:tcBorders>
            <w:noWrap w:val="0"/>
            <w:vAlign w:val="center"/>
          </w:tcPr>
          <w:p w14:paraId="49CF36BC">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tc>
      </w:tr>
      <w:tr w14:paraId="584AA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1123342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38330AA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54B84C2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3440" w:type="pct"/>
            <w:tcBorders>
              <w:top w:val="single" w:color="auto" w:sz="4" w:space="0"/>
              <w:left w:val="single" w:color="auto" w:sz="4" w:space="0"/>
              <w:bottom w:val="single" w:color="auto" w:sz="4" w:space="0"/>
              <w:right w:val="single" w:color="auto" w:sz="4" w:space="0"/>
            </w:tcBorders>
            <w:noWrap w:val="0"/>
            <w:vAlign w:val="center"/>
          </w:tcPr>
          <w:p w14:paraId="076CFC84">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tc>
      </w:tr>
      <w:tr w14:paraId="43339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126EE5E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6754772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757051F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13.7</w:t>
            </w:r>
          </w:p>
        </w:tc>
        <w:tc>
          <w:tcPr>
            <w:tcW w:w="3440" w:type="pct"/>
            <w:tcBorders>
              <w:top w:val="single" w:color="auto" w:sz="4" w:space="0"/>
              <w:left w:val="single" w:color="auto" w:sz="4" w:space="0"/>
              <w:bottom w:val="single" w:color="auto" w:sz="4" w:space="0"/>
              <w:right w:val="single" w:color="auto" w:sz="4" w:space="0"/>
            </w:tcBorders>
            <w:noWrap w:val="0"/>
            <w:vAlign w:val="center"/>
          </w:tcPr>
          <w:p w14:paraId="324F76EE">
            <w:pPr>
              <w:keepNext w:val="0"/>
              <w:keepLines w:val="0"/>
              <w:suppressLineNumbers w:val="0"/>
              <w:spacing w:before="0" w:beforeAutospacing="0" w:after="0" w:afterAutospacing="0" w:line="360" w:lineRule="auto"/>
              <w:ind w:left="0" w:right="0" w:firstLine="48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tc>
      </w:tr>
      <w:tr w14:paraId="549EC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2CB294D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4AFABC0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23E7125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13.9</w:t>
            </w:r>
          </w:p>
        </w:tc>
        <w:tc>
          <w:tcPr>
            <w:tcW w:w="3440" w:type="pct"/>
            <w:tcBorders>
              <w:top w:val="single" w:color="auto" w:sz="4" w:space="0"/>
              <w:left w:val="single" w:color="auto" w:sz="4" w:space="0"/>
              <w:bottom w:val="single" w:color="auto" w:sz="4" w:space="0"/>
              <w:right w:val="single" w:color="auto" w:sz="4" w:space="0"/>
            </w:tcBorders>
            <w:noWrap w:val="0"/>
            <w:vAlign w:val="center"/>
          </w:tcPr>
          <w:p w14:paraId="0C51D4A5">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投标人应将上述文件按顺序装订成册、打印页码，并编列投标文件目录、资料清单，由于装订不规范或编排顺序混乱而导致投标文件被误读或漏读，该投标可能被视为无效投标或承担不利的评标结果。</w:t>
            </w:r>
          </w:p>
        </w:tc>
      </w:tr>
      <w:tr w14:paraId="3DDBA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16CA03E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4950C8A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75FF57D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3440" w:type="pct"/>
            <w:tcBorders>
              <w:top w:val="single" w:color="auto" w:sz="4" w:space="0"/>
              <w:left w:val="single" w:color="auto" w:sz="4" w:space="0"/>
              <w:bottom w:val="single" w:color="auto" w:sz="4" w:space="0"/>
              <w:right w:val="single" w:color="auto" w:sz="4" w:space="0"/>
            </w:tcBorders>
            <w:noWrap w:val="0"/>
            <w:vAlign w:val="center"/>
          </w:tcPr>
          <w:p w14:paraId="3B58461F">
            <w:pPr>
              <w:keepNext w:val="0"/>
              <w:keepLines w:val="0"/>
              <w:suppressLineNumbers w:val="0"/>
              <w:spacing w:before="0" w:beforeAutospacing="0" w:after="0" w:afterAutospacing="0" w:line="360" w:lineRule="auto"/>
              <w:ind w:left="0" w:right="0" w:firstLine="48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14.1</w:t>
            </w:r>
            <w:r>
              <w:rPr>
                <w:rFonts w:hint="eastAsia" w:ascii="宋体" w:hAnsi="宋体" w:eastAsia="宋体" w:cs="宋体"/>
                <w:b/>
                <w:color w:val="auto"/>
                <w:sz w:val="24"/>
                <w:szCs w:val="24"/>
                <w:highlight w:val="none"/>
              </w:rPr>
              <w:t>投标文件未密封将导致其投标被拒绝。</w:t>
            </w:r>
          </w:p>
        </w:tc>
      </w:tr>
      <w:tr w14:paraId="54447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3DDA9D8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1A4B77A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16C5D8E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14.5</w:t>
            </w:r>
          </w:p>
        </w:tc>
        <w:tc>
          <w:tcPr>
            <w:tcW w:w="3440" w:type="pct"/>
            <w:tcBorders>
              <w:top w:val="single" w:color="auto" w:sz="4" w:space="0"/>
              <w:left w:val="single" w:color="auto" w:sz="4" w:space="0"/>
              <w:bottom w:val="single" w:color="auto" w:sz="4" w:space="0"/>
              <w:right w:val="single" w:color="auto" w:sz="4" w:space="0"/>
            </w:tcBorders>
            <w:noWrap w:val="0"/>
            <w:vAlign w:val="center"/>
          </w:tcPr>
          <w:p w14:paraId="6FF4FB18">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14.5投标文件应在投标邀请中规定的截止时间前送达，迟到的投标文件为无效投标文件, 将被拒收。</w:t>
            </w:r>
          </w:p>
        </w:tc>
      </w:tr>
      <w:tr w14:paraId="6E2C1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587AC5B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0D55BD9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64E4D79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14.7</w:t>
            </w:r>
          </w:p>
        </w:tc>
        <w:tc>
          <w:tcPr>
            <w:tcW w:w="3440" w:type="pct"/>
            <w:tcBorders>
              <w:top w:val="single" w:color="auto" w:sz="4" w:space="0"/>
              <w:left w:val="single" w:color="auto" w:sz="4" w:space="0"/>
              <w:bottom w:val="single" w:color="auto" w:sz="4" w:space="0"/>
              <w:right w:val="single" w:color="auto" w:sz="4" w:space="0"/>
            </w:tcBorders>
            <w:noWrap w:val="0"/>
            <w:vAlign w:val="top"/>
          </w:tcPr>
          <w:p w14:paraId="25519B5C">
            <w:pPr>
              <w:keepNext w:val="0"/>
              <w:keepLines w:val="0"/>
              <w:suppressLineNumbers w:val="0"/>
              <w:spacing w:before="0" w:beforeAutospacing="0" w:after="0" w:afterAutospacing="0" w:line="360" w:lineRule="auto"/>
              <w:ind w:left="0" w:right="0"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tc>
      </w:tr>
      <w:tr w14:paraId="1870C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77FF096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778501D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568925EE">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w:t>
            </w:r>
          </w:p>
        </w:tc>
        <w:tc>
          <w:tcPr>
            <w:tcW w:w="3440" w:type="pct"/>
            <w:tcBorders>
              <w:top w:val="single" w:color="auto" w:sz="4" w:space="0"/>
              <w:left w:val="single" w:color="auto" w:sz="4" w:space="0"/>
              <w:bottom w:val="single" w:color="auto" w:sz="4" w:space="0"/>
              <w:right w:val="single" w:color="auto" w:sz="4" w:space="0"/>
            </w:tcBorders>
            <w:noWrap w:val="0"/>
            <w:vAlign w:val="top"/>
          </w:tcPr>
          <w:p w14:paraId="0CE162D1">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17.投标人任何试图影响评委会对投标文件的评估、比较或者推荐候选人的行为，都将导致其投标按照无效投标处理，并被没收投标保证金。</w:t>
            </w:r>
          </w:p>
        </w:tc>
      </w:tr>
      <w:tr w14:paraId="1B8FA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5140FCB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3C4B9BE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47208264">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p>
        </w:tc>
        <w:tc>
          <w:tcPr>
            <w:tcW w:w="3440" w:type="pct"/>
            <w:tcBorders>
              <w:top w:val="single" w:color="auto" w:sz="4" w:space="0"/>
              <w:left w:val="single" w:color="auto" w:sz="4" w:space="0"/>
              <w:bottom w:val="single" w:color="auto" w:sz="4" w:space="0"/>
              <w:right w:val="single" w:color="auto" w:sz="4" w:space="0"/>
            </w:tcBorders>
            <w:noWrap w:val="0"/>
            <w:vAlign w:val="top"/>
          </w:tcPr>
          <w:p w14:paraId="0C934FF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tc>
      </w:tr>
      <w:tr w14:paraId="4F96C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17D7470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6A4BE8D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2E4A1CD7">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17.3.2</w:t>
            </w:r>
          </w:p>
        </w:tc>
        <w:tc>
          <w:tcPr>
            <w:tcW w:w="3440" w:type="pct"/>
            <w:tcBorders>
              <w:top w:val="single" w:color="auto" w:sz="4" w:space="0"/>
              <w:left w:val="single" w:color="auto" w:sz="4" w:space="0"/>
              <w:bottom w:val="single" w:color="auto" w:sz="4" w:space="0"/>
              <w:right w:val="single" w:color="auto" w:sz="4" w:space="0"/>
            </w:tcBorders>
            <w:noWrap w:val="0"/>
            <w:vAlign w:val="top"/>
          </w:tcPr>
          <w:p w14:paraId="49C3DB8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67B5A9D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未按规定提交投标保证金的；</w:t>
            </w:r>
          </w:p>
          <w:p w14:paraId="28B2BFF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(2)投标有效期不满足招标文件要求的；</w:t>
            </w:r>
          </w:p>
          <w:p w14:paraId="6E10969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(3)投标内容与招标内容及要求有重大偏离或保留的；</w:t>
            </w:r>
          </w:p>
          <w:p w14:paraId="3CEC0FB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(4)投标人提交的是可选择的报价；</w:t>
            </w:r>
          </w:p>
          <w:p w14:paraId="3DA578A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(5)投标人未按招标文件要求对投标进行分项报价；</w:t>
            </w:r>
          </w:p>
          <w:p w14:paraId="52147F9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(6)投标文件中提供虚假或失实资料的；</w:t>
            </w:r>
          </w:p>
          <w:p w14:paraId="04C3623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(7)不符合招标文件中规定的其它实质性条款。 </w:t>
            </w:r>
          </w:p>
          <w:p w14:paraId="0291DCD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评标委员会决定投标的响应性只根据投标文件本身的内容，而不寻求其他的外部证据。</w:t>
            </w:r>
          </w:p>
        </w:tc>
      </w:tr>
      <w:tr w14:paraId="6326C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top w:val="single" w:color="auto" w:sz="4" w:space="0"/>
              <w:left w:val="single" w:color="auto" w:sz="4" w:space="0"/>
              <w:bottom w:val="single" w:color="auto" w:sz="4" w:space="0"/>
              <w:right w:val="single" w:color="auto" w:sz="4" w:space="0"/>
            </w:tcBorders>
            <w:noWrap w:val="0"/>
            <w:vAlign w:val="center"/>
          </w:tcPr>
          <w:p w14:paraId="4F568C0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396" w:type="pct"/>
            <w:tcBorders>
              <w:top w:val="single" w:color="auto" w:sz="4" w:space="0"/>
              <w:left w:val="single" w:color="auto" w:sz="4" w:space="0"/>
              <w:bottom w:val="single" w:color="auto" w:sz="4" w:space="0"/>
              <w:right w:val="single" w:color="auto" w:sz="4" w:space="0"/>
            </w:tcBorders>
            <w:noWrap w:val="0"/>
            <w:vAlign w:val="center"/>
          </w:tcPr>
          <w:p w14:paraId="4596033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left w:val="single" w:color="auto" w:sz="4" w:space="0"/>
              <w:bottom w:val="single" w:color="auto" w:sz="4" w:space="0"/>
              <w:right w:val="single" w:color="auto" w:sz="4" w:space="0"/>
            </w:tcBorders>
            <w:noWrap w:val="0"/>
            <w:vAlign w:val="center"/>
          </w:tcPr>
          <w:p w14:paraId="3375CF1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w:t>
            </w:r>
          </w:p>
        </w:tc>
        <w:tc>
          <w:tcPr>
            <w:tcW w:w="3440" w:type="pct"/>
            <w:tcBorders>
              <w:top w:val="single" w:color="auto" w:sz="4" w:space="0"/>
              <w:left w:val="single" w:color="auto" w:sz="4" w:space="0"/>
              <w:bottom w:val="single" w:color="auto" w:sz="4" w:space="0"/>
              <w:right w:val="single" w:color="auto" w:sz="4" w:space="0"/>
            </w:tcBorders>
            <w:noWrap w:val="0"/>
            <w:vAlign w:val="top"/>
          </w:tcPr>
          <w:p w14:paraId="1A40926B">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tc>
      </w:tr>
      <w:tr w14:paraId="39D55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351" w:type="pct"/>
            <w:tcBorders>
              <w:top w:val="single" w:color="auto" w:sz="4" w:space="0"/>
            </w:tcBorders>
            <w:noWrap w:val="0"/>
            <w:vAlign w:val="center"/>
          </w:tcPr>
          <w:p w14:paraId="5EF2FB8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396" w:type="pct"/>
            <w:tcBorders>
              <w:top w:val="single" w:color="auto" w:sz="4" w:space="0"/>
            </w:tcBorders>
            <w:noWrap w:val="0"/>
            <w:vAlign w:val="center"/>
          </w:tcPr>
          <w:p w14:paraId="5251CFB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tcBorders>
              <w:top w:val="single" w:color="auto" w:sz="4" w:space="0"/>
            </w:tcBorders>
            <w:noWrap w:val="0"/>
            <w:vAlign w:val="center"/>
          </w:tcPr>
          <w:p w14:paraId="6858D86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17.3.4</w:t>
            </w:r>
          </w:p>
        </w:tc>
        <w:tc>
          <w:tcPr>
            <w:tcW w:w="3440" w:type="pct"/>
            <w:tcBorders>
              <w:top w:val="single" w:color="auto" w:sz="4" w:space="0"/>
            </w:tcBorders>
            <w:noWrap w:val="0"/>
            <w:vAlign w:val="center"/>
          </w:tcPr>
          <w:p w14:paraId="45D7D309">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14:paraId="58EFE5C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1A44E02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5819EA1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0994301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3E5845D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248D47A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p w14:paraId="76FA9CC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p>
        </w:tc>
      </w:tr>
      <w:tr w14:paraId="25B5E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2D82715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w:t>
            </w:r>
          </w:p>
        </w:tc>
        <w:tc>
          <w:tcPr>
            <w:tcW w:w="396" w:type="pct"/>
            <w:noWrap w:val="0"/>
            <w:vAlign w:val="center"/>
          </w:tcPr>
          <w:p w14:paraId="7249502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noWrap w:val="0"/>
            <w:vAlign w:val="center"/>
          </w:tcPr>
          <w:p w14:paraId="286480A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kern w:val="0"/>
                <w:sz w:val="24"/>
                <w:szCs w:val="24"/>
                <w:highlight w:val="none"/>
              </w:rPr>
              <w:t>17.3.5</w:t>
            </w:r>
          </w:p>
        </w:tc>
        <w:tc>
          <w:tcPr>
            <w:tcW w:w="3440" w:type="pct"/>
            <w:noWrap w:val="0"/>
            <w:vAlign w:val="center"/>
          </w:tcPr>
          <w:p w14:paraId="6B4ECA4A">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tc>
      </w:tr>
      <w:tr w14:paraId="43289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21B9719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396" w:type="pct"/>
            <w:noWrap w:val="0"/>
            <w:vAlign w:val="center"/>
          </w:tcPr>
          <w:p w14:paraId="5CEDC14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812" w:type="pct"/>
            <w:noWrap w:val="0"/>
            <w:vAlign w:val="center"/>
          </w:tcPr>
          <w:p w14:paraId="54C6A10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19.3</w:t>
            </w:r>
          </w:p>
        </w:tc>
        <w:tc>
          <w:tcPr>
            <w:tcW w:w="3440" w:type="pct"/>
            <w:noWrap w:val="0"/>
            <w:vAlign w:val="center"/>
          </w:tcPr>
          <w:p w14:paraId="662FA6D0">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14:paraId="3FBE7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259002C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22</w:t>
            </w:r>
          </w:p>
        </w:tc>
        <w:tc>
          <w:tcPr>
            <w:tcW w:w="396" w:type="pct"/>
            <w:noWrap w:val="0"/>
            <w:vAlign w:val="center"/>
          </w:tcPr>
          <w:p w14:paraId="7B31A80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二</w:t>
            </w:r>
          </w:p>
        </w:tc>
        <w:tc>
          <w:tcPr>
            <w:tcW w:w="812" w:type="pct"/>
            <w:noWrap w:val="0"/>
            <w:vAlign w:val="center"/>
          </w:tcPr>
          <w:p w14:paraId="0BCB7AE9">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22</w:t>
            </w:r>
          </w:p>
        </w:tc>
        <w:tc>
          <w:tcPr>
            <w:tcW w:w="3440" w:type="pct"/>
            <w:noWrap w:val="0"/>
            <w:vAlign w:val="center"/>
          </w:tcPr>
          <w:p w14:paraId="2A78267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rPr>
              <w:t>投标人一旦中标，应在规定时间内凭中标通知书原件按第四章合同文本要求签订合同，并且凭中标供应商开具的本单位一般纳税人增值税专用发票（13%税点）向厦门万翔网络商务有限公司申请支付相应货款。中标供应商为中小企业的，如需支付履约保证金的，支付比例为中标金额的5%。</w:t>
            </w:r>
            <w:r>
              <w:rPr>
                <w:rFonts w:hint="eastAsia" w:ascii="宋体" w:hAnsi="宋体" w:cs="宋体"/>
                <w:bCs/>
                <w:color w:val="auto"/>
                <w:sz w:val="24"/>
                <w:szCs w:val="24"/>
                <w:highlight w:val="none"/>
              </w:rPr>
              <w:t>否则作无效投标处理。</w:t>
            </w:r>
          </w:p>
        </w:tc>
      </w:tr>
      <w:tr w14:paraId="762C3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406C43D9">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23</w:t>
            </w:r>
          </w:p>
        </w:tc>
        <w:tc>
          <w:tcPr>
            <w:tcW w:w="396" w:type="pct"/>
            <w:noWrap w:val="0"/>
            <w:vAlign w:val="center"/>
          </w:tcPr>
          <w:p w14:paraId="13D551B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7B50C71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0EEF6295">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投标人如果为联合体投标，则必须同时满足下列要求，否则</w:t>
            </w:r>
            <w:r>
              <w:rPr>
                <w:rFonts w:hint="eastAsia" w:ascii="宋体" w:hAnsi="宋体" w:eastAsia="宋体" w:cs="宋体"/>
                <w:color w:val="auto"/>
                <w:sz w:val="24"/>
                <w:szCs w:val="24"/>
                <w:highlight w:val="none"/>
              </w:rPr>
              <w:t>该投标人的投标将按照无效投标处理</w:t>
            </w:r>
            <w:r>
              <w:rPr>
                <w:rFonts w:hint="eastAsia" w:ascii="宋体" w:hAnsi="宋体" w:eastAsia="宋体" w:cs="宋体"/>
                <w:bCs/>
                <w:color w:val="auto"/>
                <w:sz w:val="24"/>
                <w:szCs w:val="24"/>
                <w:highlight w:val="none"/>
              </w:rPr>
              <w:t>：</w:t>
            </w:r>
          </w:p>
          <w:p w14:paraId="4BDBB312">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①在开标一览表中注明是否联合体投标、联合体组成单位；</w:t>
            </w:r>
          </w:p>
          <w:p w14:paraId="33EC5D21">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②在投标文件中提供各方盖章签署的共同投标协议原件。</w:t>
            </w:r>
          </w:p>
        </w:tc>
      </w:tr>
      <w:tr w14:paraId="4384E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2444D907">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24</w:t>
            </w:r>
          </w:p>
        </w:tc>
        <w:tc>
          <w:tcPr>
            <w:tcW w:w="396" w:type="pct"/>
            <w:noWrap w:val="0"/>
            <w:vAlign w:val="center"/>
          </w:tcPr>
          <w:p w14:paraId="7032B38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339517D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65CAC0DD">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投标文件中不得附有</w:t>
            </w:r>
            <w:r>
              <w:rPr>
                <w:rFonts w:hint="eastAsia" w:ascii="宋体" w:hAnsi="宋体" w:cs="宋体"/>
                <w:bCs/>
                <w:color w:val="auto"/>
                <w:sz w:val="24"/>
                <w:szCs w:val="24"/>
                <w:highlight w:val="none"/>
              </w:rPr>
              <w:t>采购单位</w:t>
            </w:r>
            <w:r>
              <w:rPr>
                <w:rFonts w:hint="eastAsia" w:ascii="宋体" w:hAnsi="宋体" w:cs="宋体"/>
                <w:color w:val="auto"/>
                <w:sz w:val="24"/>
                <w:szCs w:val="24"/>
                <w:highlight w:val="none"/>
              </w:rPr>
              <w:t>（或使用单位）</w:t>
            </w:r>
            <w:r>
              <w:rPr>
                <w:rFonts w:hint="eastAsia" w:ascii="宋体" w:hAnsi="宋体" w:eastAsia="宋体" w:cs="宋体"/>
                <w:bCs/>
                <w:color w:val="auto"/>
                <w:sz w:val="24"/>
                <w:szCs w:val="24"/>
                <w:highlight w:val="none"/>
              </w:rPr>
              <w:t>不能接受的条款，</w:t>
            </w:r>
            <w:r>
              <w:rPr>
                <w:rFonts w:hint="eastAsia" w:ascii="宋体" w:hAnsi="宋体" w:eastAsia="宋体" w:cs="宋体"/>
                <w:color w:val="auto"/>
                <w:sz w:val="24"/>
                <w:szCs w:val="24"/>
                <w:highlight w:val="none"/>
              </w:rPr>
              <w:t>否则该投标人的投标将按照无效投标处理。</w:t>
            </w:r>
          </w:p>
        </w:tc>
      </w:tr>
      <w:tr w14:paraId="15CBB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281CB2BC">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25</w:t>
            </w:r>
          </w:p>
        </w:tc>
        <w:tc>
          <w:tcPr>
            <w:tcW w:w="396" w:type="pct"/>
            <w:noWrap w:val="0"/>
            <w:vAlign w:val="center"/>
          </w:tcPr>
          <w:p w14:paraId="69564F52">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p>
        </w:tc>
        <w:tc>
          <w:tcPr>
            <w:tcW w:w="812" w:type="pct"/>
            <w:noWrap w:val="0"/>
            <w:vAlign w:val="center"/>
          </w:tcPr>
          <w:p w14:paraId="722E4F2E">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440" w:type="pct"/>
            <w:noWrap w:val="0"/>
            <w:vAlign w:val="center"/>
          </w:tcPr>
          <w:p w14:paraId="3905C2D6">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本项目以合同包为单位，对于每个合同包，投标人必须完整地提供合同包要求的所有货物和服务，否则</w:t>
            </w:r>
            <w:r>
              <w:rPr>
                <w:rFonts w:hint="eastAsia" w:ascii="宋体" w:hAnsi="宋体" w:eastAsia="宋体" w:cs="宋体"/>
                <w:color w:val="auto"/>
                <w:sz w:val="24"/>
                <w:szCs w:val="24"/>
                <w:highlight w:val="none"/>
              </w:rPr>
              <w:t>该投标人针对该合同包的投标将按照无效投标处理</w:t>
            </w:r>
            <w:r>
              <w:rPr>
                <w:rFonts w:hint="eastAsia" w:ascii="宋体" w:hAnsi="宋体" w:eastAsia="宋体" w:cs="宋体"/>
                <w:bCs/>
                <w:color w:val="auto"/>
                <w:sz w:val="24"/>
                <w:szCs w:val="24"/>
                <w:highlight w:val="none"/>
              </w:rPr>
              <w:t>。</w:t>
            </w:r>
          </w:p>
        </w:tc>
      </w:tr>
      <w:tr w14:paraId="5E546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309CFCFD">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26</w:t>
            </w:r>
          </w:p>
        </w:tc>
        <w:tc>
          <w:tcPr>
            <w:tcW w:w="396" w:type="pct"/>
            <w:noWrap w:val="0"/>
            <w:vAlign w:val="center"/>
          </w:tcPr>
          <w:p w14:paraId="3B4759A5">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812" w:type="pct"/>
            <w:noWrap w:val="0"/>
            <w:vAlign w:val="center"/>
          </w:tcPr>
          <w:p w14:paraId="6D108141">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440" w:type="pct"/>
            <w:noWrap w:val="0"/>
            <w:vAlign w:val="center"/>
          </w:tcPr>
          <w:p w14:paraId="7BD66AA7">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投标人应对其在投标文件中声明的关于中小企业事项的真实性负责，存在以下情形之一的，经评标委员会查实，应认定存在虚假的：</w:t>
            </w:r>
          </w:p>
          <w:p w14:paraId="47127DD2">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（1）投标人（包括联合体任一方）不符合“工信部联企业[2011]300号”规定的中小企业标准的；</w:t>
            </w:r>
          </w:p>
          <w:p w14:paraId="43DCBF71">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（2）投标货物全部或部分为使用大型企业注册商标的货物的；</w:t>
            </w:r>
          </w:p>
          <w:p w14:paraId="0C4D2A7C">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（3）投标文件中标明的小型或微型企业产品的制造商不符合“工信部联企业[2011]300号”规定的小型和微型企业标准的。</w:t>
            </w:r>
          </w:p>
          <w:p w14:paraId="6E05E726">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在评审过程中发现上述虚假情形的，该投标人的投标作无效投标处理。</w:t>
            </w:r>
          </w:p>
        </w:tc>
      </w:tr>
      <w:tr w14:paraId="43FE4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5F2E635B">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27</w:t>
            </w:r>
          </w:p>
        </w:tc>
        <w:tc>
          <w:tcPr>
            <w:tcW w:w="396" w:type="pct"/>
            <w:noWrap w:val="0"/>
            <w:vAlign w:val="center"/>
          </w:tcPr>
          <w:p w14:paraId="069B50D5">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812" w:type="pct"/>
            <w:noWrap w:val="0"/>
            <w:vAlign w:val="center"/>
          </w:tcPr>
          <w:p w14:paraId="0851923B">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440" w:type="pct"/>
            <w:noWrap w:val="0"/>
            <w:vAlign w:val="center"/>
          </w:tcPr>
          <w:p w14:paraId="4F44D029">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减半交纳投标保证金的投标人未按照招标文件格式要求在投标文件中提供《中小企业声明函》的，其投标作无效投标处理。</w:t>
            </w:r>
          </w:p>
        </w:tc>
      </w:tr>
      <w:tr w14:paraId="32DFE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bottom w:val="single" w:color="auto" w:sz="4" w:space="0"/>
            </w:tcBorders>
            <w:noWrap w:val="0"/>
            <w:vAlign w:val="center"/>
          </w:tcPr>
          <w:p w14:paraId="6A76CD95">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28</w:t>
            </w:r>
          </w:p>
        </w:tc>
        <w:tc>
          <w:tcPr>
            <w:tcW w:w="396" w:type="pct"/>
            <w:tcBorders>
              <w:bottom w:val="single" w:color="auto" w:sz="4" w:space="0"/>
            </w:tcBorders>
            <w:noWrap w:val="0"/>
            <w:vAlign w:val="center"/>
          </w:tcPr>
          <w:p w14:paraId="5605818B">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812" w:type="pct"/>
            <w:tcBorders>
              <w:bottom w:val="single" w:color="auto" w:sz="4" w:space="0"/>
            </w:tcBorders>
            <w:noWrap w:val="0"/>
            <w:vAlign w:val="center"/>
          </w:tcPr>
          <w:p w14:paraId="4ADD2070">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440" w:type="pct"/>
            <w:tcBorders>
              <w:bottom w:val="single" w:color="auto" w:sz="4" w:space="0"/>
            </w:tcBorders>
            <w:noWrap w:val="0"/>
            <w:vAlign w:val="center"/>
          </w:tcPr>
          <w:p w14:paraId="3580D9F8">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投标人应按照招标文件格式要求在投标文件中提供《廉洁承诺书》原件（投标人为联合体的，联合体各方均应提供《廉洁承诺书》原件），否则作无效投标处理。</w:t>
            </w:r>
          </w:p>
        </w:tc>
      </w:tr>
      <w:tr w14:paraId="2A8F5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bottom w:val="single" w:color="auto" w:sz="4" w:space="0"/>
            </w:tcBorders>
            <w:noWrap w:val="0"/>
            <w:vAlign w:val="center"/>
          </w:tcPr>
          <w:p w14:paraId="71813E65">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29</w:t>
            </w:r>
          </w:p>
        </w:tc>
        <w:tc>
          <w:tcPr>
            <w:tcW w:w="396" w:type="pct"/>
            <w:tcBorders>
              <w:bottom w:val="single" w:color="auto" w:sz="4" w:space="0"/>
            </w:tcBorders>
            <w:noWrap w:val="0"/>
            <w:vAlign w:val="center"/>
          </w:tcPr>
          <w:p w14:paraId="041CA8E6">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812" w:type="pct"/>
            <w:tcBorders>
              <w:bottom w:val="single" w:color="auto" w:sz="4" w:space="0"/>
            </w:tcBorders>
            <w:noWrap w:val="0"/>
            <w:vAlign w:val="center"/>
          </w:tcPr>
          <w:p w14:paraId="2576EE9F">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440" w:type="pct"/>
            <w:tcBorders>
              <w:bottom w:val="single" w:color="auto" w:sz="4" w:space="0"/>
            </w:tcBorders>
            <w:noWrap w:val="0"/>
            <w:vAlign w:val="center"/>
          </w:tcPr>
          <w:p w14:paraId="465E311C">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其他不满足招标文件要求经评标委员会认定须作无效投标处理的。</w:t>
            </w:r>
          </w:p>
        </w:tc>
      </w:tr>
      <w:tr w14:paraId="52332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bottom w:val="single" w:color="auto" w:sz="4" w:space="0"/>
            </w:tcBorders>
            <w:noWrap w:val="0"/>
            <w:vAlign w:val="center"/>
          </w:tcPr>
          <w:p w14:paraId="0A6E75F7">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30</w:t>
            </w:r>
          </w:p>
        </w:tc>
        <w:tc>
          <w:tcPr>
            <w:tcW w:w="396" w:type="pct"/>
            <w:tcBorders>
              <w:bottom w:val="single" w:color="auto" w:sz="4" w:space="0"/>
            </w:tcBorders>
            <w:noWrap w:val="0"/>
            <w:vAlign w:val="center"/>
          </w:tcPr>
          <w:p w14:paraId="58E840E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7BBC018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tcBorders>
              <w:bottom w:val="single" w:color="auto" w:sz="4" w:space="0"/>
            </w:tcBorders>
            <w:noWrap w:val="0"/>
            <w:vAlign w:val="center"/>
          </w:tcPr>
          <w:p w14:paraId="1B5A467F">
            <w:pPr>
              <w:pStyle w:val="38"/>
              <w:keepNext w:val="0"/>
              <w:keepLines w:val="0"/>
              <w:pageBreakBefore w:val="0"/>
              <w:widowControl w:val="0"/>
              <w:suppressLineNumbers w:val="0"/>
              <w:kinsoku/>
              <w:wordWrap/>
              <w:overflowPunct/>
              <w:topLinePunct w:val="0"/>
              <w:bidi w:val="0"/>
              <w:snapToGrid/>
              <w:spacing w:before="0" w:beforeAutospacing="0" w:after="0" w:afterAutospacing="0" w:line="360" w:lineRule="auto"/>
              <w:ind w:left="0" w:right="0"/>
              <w:textAlignment w:val="auto"/>
              <w:rPr>
                <w:rFonts w:hint="eastAsia" w:hAnsi="宋体" w:eastAsia="宋体" w:cs="宋体"/>
                <w:color w:val="auto"/>
                <w:highlight w:val="none"/>
                <w:lang w:val="en-US" w:eastAsia="zh-CN"/>
              </w:rPr>
            </w:pPr>
            <w:r>
              <w:rPr>
                <w:rFonts w:hint="eastAsia" w:hAnsi="宋体" w:eastAsia="宋体" w:cs="宋体"/>
                <w:color w:val="auto"/>
                <w:highlight w:val="none"/>
                <w:lang w:val="en-US" w:eastAsia="zh-CN"/>
              </w:rPr>
              <w:t>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123号）规定的包装要求，其他包装需求详见招标文件具体规定。采购单位、中标供应商双方签订合同及验收环节，应包含上述包装要求的条款。</w:t>
            </w:r>
          </w:p>
          <w:p w14:paraId="27F998A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448E9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bottom w:val="single" w:color="auto" w:sz="4" w:space="0"/>
            </w:tcBorders>
            <w:noWrap w:val="0"/>
            <w:vAlign w:val="center"/>
          </w:tcPr>
          <w:p w14:paraId="10E8402D">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31</w:t>
            </w:r>
          </w:p>
        </w:tc>
        <w:tc>
          <w:tcPr>
            <w:tcW w:w="396" w:type="pct"/>
            <w:tcBorders>
              <w:bottom w:val="single" w:color="auto" w:sz="4" w:space="0"/>
            </w:tcBorders>
            <w:noWrap w:val="0"/>
            <w:vAlign w:val="center"/>
          </w:tcPr>
          <w:p w14:paraId="36F3F20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0E9F674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tcBorders>
              <w:bottom w:val="single" w:color="auto" w:sz="4" w:space="0"/>
            </w:tcBorders>
            <w:noWrap w:val="0"/>
            <w:vAlign w:val="center"/>
          </w:tcPr>
          <w:p w14:paraId="6D5F587D">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b/>
                <w:bCs/>
                <w:i w:val="0"/>
                <w:iCs w:val="0"/>
                <w:color w:val="auto"/>
                <w:kern w:val="0"/>
                <w:sz w:val="24"/>
                <w:szCs w:val="24"/>
                <w:highlight w:val="none"/>
                <w:lang w:val="en-US" w:eastAsia="zh-CN" w:bidi="ar"/>
              </w:rPr>
              <w:t>*85列≧打印宽度≧80列；针数≧24针；打印速度：中文超高速≧175汉字/秒；打印厚度：≥0.45mm；配备USB2.0数据线或并口线；适配符合安全可靠测评要求的计算机平台及符合安全可靠测评要求的操作系统。</w:t>
            </w:r>
          </w:p>
        </w:tc>
      </w:tr>
      <w:tr w14:paraId="4760C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bottom w:val="single" w:color="auto" w:sz="4" w:space="0"/>
            </w:tcBorders>
            <w:noWrap w:val="0"/>
            <w:vAlign w:val="center"/>
          </w:tcPr>
          <w:p w14:paraId="2FFD0874">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32</w:t>
            </w:r>
          </w:p>
        </w:tc>
        <w:tc>
          <w:tcPr>
            <w:tcW w:w="396" w:type="pct"/>
            <w:tcBorders>
              <w:bottom w:val="single" w:color="auto" w:sz="4" w:space="0"/>
            </w:tcBorders>
            <w:noWrap w:val="0"/>
            <w:vAlign w:val="center"/>
          </w:tcPr>
          <w:p w14:paraId="17323C2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22E75B8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tcBorders>
              <w:bottom w:val="single" w:color="auto" w:sz="4" w:space="0"/>
            </w:tcBorders>
            <w:noWrap w:val="0"/>
            <w:vAlign w:val="center"/>
          </w:tcPr>
          <w:p w14:paraId="2F63AB42">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b/>
                <w:bCs/>
                <w:i w:val="0"/>
                <w:iCs w:val="0"/>
                <w:color w:val="auto"/>
                <w:kern w:val="0"/>
                <w:sz w:val="24"/>
                <w:szCs w:val="24"/>
                <w:highlight w:val="none"/>
                <w:lang w:val="en-US" w:eastAsia="zh-CN" w:bidi="ar"/>
              </w:rPr>
              <w:t>*115列≧打印宽度≧106列；针数≧24针；打印速度：中文超高速≧220汉字/秒；打印厚度：≥0.65mm；配备USB2.0数据线或并口线；适配符合安全可靠测评要求的计算机平台及符合安全可靠测评要求的操作系统。</w:t>
            </w:r>
          </w:p>
        </w:tc>
      </w:tr>
      <w:tr w14:paraId="3AFBA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tcBorders>
              <w:bottom w:val="single" w:color="auto" w:sz="4" w:space="0"/>
            </w:tcBorders>
            <w:noWrap w:val="0"/>
            <w:vAlign w:val="center"/>
          </w:tcPr>
          <w:p w14:paraId="120A810B">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33</w:t>
            </w:r>
          </w:p>
        </w:tc>
        <w:tc>
          <w:tcPr>
            <w:tcW w:w="396" w:type="pct"/>
            <w:tcBorders>
              <w:bottom w:val="single" w:color="auto" w:sz="4" w:space="0"/>
            </w:tcBorders>
            <w:noWrap w:val="0"/>
            <w:vAlign w:val="center"/>
          </w:tcPr>
          <w:p w14:paraId="3E2B965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tcBorders>
              <w:bottom w:val="single" w:color="auto" w:sz="4" w:space="0"/>
            </w:tcBorders>
            <w:noWrap w:val="0"/>
            <w:vAlign w:val="center"/>
          </w:tcPr>
          <w:p w14:paraId="2C24D3D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tcBorders>
              <w:bottom w:val="single" w:color="auto" w:sz="4" w:space="0"/>
            </w:tcBorders>
            <w:noWrap w:val="0"/>
            <w:vAlign w:val="center"/>
          </w:tcPr>
          <w:p w14:paraId="54222AA9">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b/>
                <w:bCs/>
                <w:i w:val="0"/>
                <w:iCs w:val="0"/>
                <w:color w:val="auto"/>
                <w:kern w:val="0"/>
                <w:sz w:val="24"/>
                <w:szCs w:val="24"/>
                <w:highlight w:val="none"/>
                <w:lang w:val="en-US" w:eastAsia="zh-CN" w:bidi="ar"/>
              </w:rPr>
              <w:t>*115列≧打印宽度≧106列；针数≧24针；打印速度：中文超高速≧220汉字/秒；打印厚度：打印厚度≧1.5mm；配备USB2.0数据线或并口线；适配符合安全可靠测评要求的计算机平台及符合安全可靠测评要求的操作系统。</w:t>
            </w:r>
          </w:p>
        </w:tc>
      </w:tr>
      <w:tr w14:paraId="0A539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13899FA3">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34</w:t>
            </w:r>
          </w:p>
        </w:tc>
        <w:tc>
          <w:tcPr>
            <w:tcW w:w="396" w:type="pct"/>
            <w:noWrap w:val="0"/>
            <w:vAlign w:val="center"/>
          </w:tcPr>
          <w:p w14:paraId="1D406F8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2FE90A5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2147232E">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b/>
                <w:bCs/>
                <w:i w:val="0"/>
                <w:iCs w:val="0"/>
                <w:color w:val="auto"/>
                <w:kern w:val="0"/>
                <w:sz w:val="24"/>
                <w:szCs w:val="24"/>
                <w:highlight w:val="none"/>
                <w:lang w:val="en-US" w:eastAsia="zh-CN" w:bidi="ar"/>
              </w:rPr>
              <w:t>*存折打印机；打印速度：中文超高速≧250汉字/秒；最大打印厚度≥2.5mm；配备USB2.0数据线或并口线；适配符合安全可靠测评要求的计算机平台及符合安全可靠测评要求的操作系统。</w:t>
            </w:r>
          </w:p>
        </w:tc>
      </w:tr>
      <w:tr w14:paraId="6823F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330D9886">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35</w:t>
            </w:r>
          </w:p>
        </w:tc>
        <w:tc>
          <w:tcPr>
            <w:tcW w:w="396" w:type="pct"/>
            <w:noWrap w:val="0"/>
            <w:vAlign w:val="center"/>
          </w:tcPr>
          <w:p w14:paraId="7ED7305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5635633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4B3F0412">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1"/>
                <w:szCs w:val="21"/>
                <w:highlight w:val="none"/>
                <w:lang w:val="en-US" w:eastAsia="zh-CN" w:bidi="ar"/>
              </w:rPr>
              <w:t>*1、投标人投标的针式打印机品目号（1-1至1-4）产品必须为同一品牌产品，否则将导致投标无效。</w:t>
            </w:r>
          </w:p>
        </w:tc>
      </w:tr>
      <w:tr w14:paraId="71B25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52D0CCC3">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36</w:t>
            </w:r>
          </w:p>
        </w:tc>
        <w:tc>
          <w:tcPr>
            <w:tcW w:w="396" w:type="pct"/>
            <w:noWrap w:val="0"/>
            <w:vAlign w:val="center"/>
          </w:tcPr>
          <w:p w14:paraId="2B9E203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4EE0C22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1EE78BE3">
            <w:pPr>
              <w:keepNext w:val="0"/>
              <w:keepLines w:val="0"/>
              <w:suppressLineNumbers w:val="0"/>
              <w:shd w:val="clear" w:fill="FFFFFF"/>
              <w:spacing w:before="0" w:beforeAutospacing="0" w:after="0" w:afterAutospacing="0" w:line="360" w:lineRule="auto"/>
              <w:ind w:left="0" w:right="0" w:firstLine="422" w:firstLineChars="20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1"/>
                <w:szCs w:val="21"/>
                <w:highlight w:val="none"/>
                <w:shd w:val="clear" w:fill="FFFFFF"/>
                <w:lang w:val="en-US" w:eastAsia="zh-CN" w:bidi="ar"/>
              </w:rPr>
              <w:t>*2、投标人须在投标文件中作出明确承诺：采购单位可调整各规格产品的实际供货数量；采购单位有权向厦门市政府机关事业单位和福建省内其他终端用户进行供货。投标人须提供相应的安装及售后服务保障，所需费用已包含在报价总价中。投标人承诺合同期内采购单位可增加或者减少各型号的采购数量，仍按不高于中标价格执行。</w:t>
            </w:r>
          </w:p>
        </w:tc>
      </w:tr>
      <w:tr w14:paraId="07738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48E5C64D">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37</w:t>
            </w:r>
          </w:p>
        </w:tc>
        <w:tc>
          <w:tcPr>
            <w:tcW w:w="396" w:type="pct"/>
            <w:noWrap w:val="0"/>
            <w:vAlign w:val="center"/>
          </w:tcPr>
          <w:p w14:paraId="12AD7A7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1D97A4E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7BF9358D">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1"/>
                <w:szCs w:val="21"/>
                <w:highlight w:val="none"/>
                <w:lang w:val="en-US" w:eastAsia="zh-CN" w:bidi="ar"/>
              </w:rPr>
              <w:t>*3、本项目采购的设备按照销售对象及销售区域的不同而分别与采购单位签订合同，即签订一份适用于厦门市机关事业单位社会团体、一份适用于福建省内其他终端用户采购合同。两份合同的总数量和总金额为本次招标采购的总数量和总金额。</w:t>
            </w:r>
          </w:p>
        </w:tc>
      </w:tr>
      <w:tr w14:paraId="2051B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52B4E2CF">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38</w:t>
            </w:r>
          </w:p>
        </w:tc>
        <w:tc>
          <w:tcPr>
            <w:tcW w:w="396" w:type="pct"/>
            <w:noWrap w:val="0"/>
            <w:vAlign w:val="center"/>
          </w:tcPr>
          <w:p w14:paraId="1857117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1B23683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7BA4349B">
            <w:pPr>
              <w:keepNext w:val="0"/>
              <w:keepLines w:val="0"/>
              <w:suppressLineNumbers w:val="0"/>
              <w:spacing w:before="0" w:beforeAutospacing="0" w:after="0" w:afterAutospacing="0" w:line="360" w:lineRule="auto"/>
              <w:ind w:left="0" w:right="0" w:firstLine="422" w:firstLineChars="20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1"/>
                <w:szCs w:val="21"/>
                <w:highlight w:val="none"/>
                <w:lang w:val="en-US" w:eastAsia="zh-CN" w:bidi="ar"/>
              </w:rPr>
              <w:t>*4、投标人所投设备应符合国家强制性产品认证标准的要求，获得CCC认证证书，并在投标文件中提供CCC认证证书的复印件。</w:t>
            </w:r>
          </w:p>
        </w:tc>
      </w:tr>
      <w:tr w14:paraId="37B14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3552EF38">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39</w:t>
            </w:r>
          </w:p>
        </w:tc>
        <w:tc>
          <w:tcPr>
            <w:tcW w:w="396" w:type="pct"/>
            <w:noWrap w:val="0"/>
            <w:vAlign w:val="center"/>
          </w:tcPr>
          <w:p w14:paraId="09A4F91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3EF1107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23E9AD5B">
            <w:pPr>
              <w:keepNext w:val="0"/>
              <w:keepLines w:val="0"/>
              <w:suppressLineNumbers w:val="0"/>
              <w:spacing w:before="0" w:beforeAutospacing="0" w:after="0" w:afterAutospacing="0" w:line="360" w:lineRule="auto"/>
              <w:ind w:left="0" w:right="0" w:firstLine="422" w:firstLineChars="20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1"/>
                <w:szCs w:val="21"/>
                <w:highlight w:val="none"/>
                <w:lang w:val="en-US" w:eastAsia="zh-CN" w:bidi="ar"/>
              </w:rPr>
              <w:t>*5、针式打印机为政府强制采购的节能产品，投标人应提供</w:t>
            </w:r>
            <w:r>
              <w:rPr>
                <w:rFonts w:hint="eastAsia" w:ascii="宋体" w:hAnsi="宋体" w:eastAsia="宋体" w:cs="宋体"/>
                <w:b/>
                <w:bCs/>
                <w:color w:val="auto"/>
                <w:kern w:val="2"/>
                <w:sz w:val="21"/>
                <w:szCs w:val="21"/>
                <w:highlight w:val="none"/>
                <w:lang w:val="en-US" w:eastAsia="zh-CN" w:bidi="ar"/>
              </w:rPr>
              <w:t>节能产品认证证书复印件（加盖投标人公章）。</w:t>
            </w:r>
          </w:p>
        </w:tc>
      </w:tr>
      <w:tr w14:paraId="18BD0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3EDD0EBF">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40</w:t>
            </w:r>
          </w:p>
        </w:tc>
        <w:tc>
          <w:tcPr>
            <w:tcW w:w="396" w:type="pct"/>
            <w:noWrap w:val="0"/>
            <w:vAlign w:val="center"/>
          </w:tcPr>
          <w:p w14:paraId="6E8F6C1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3533791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598E5593">
            <w:pPr>
              <w:keepNext w:val="0"/>
              <w:keepLines w:val="0"/>
              <w:suppressLineNumbers w:val="0"/>
              <w:spacing w:before="0" w:beforeAutospacing="0" w:after="0" w:afterAutospacing="0" w:line="360" w:lineRule="auto"/>
              <w:ind w:left="0" w:right="0" w:firstLine="422" w:firstLineChars="200"/>
              <w:rPr>
                <w:rFonts w:hint="eastAsia" w:ascii="宋体" w:hAnsi="宋体" w:eastAsia="宋体" w:cs="宋体"/>
                <w:color w:val="auto"/>
                <w:sz w:val="24"/>
                <w:szCs w:val="24"/>
                <w:highlight w:val="none"/>
              </w:rPr>
            </w:pPr>
            <w:r>
              <w:rPr>
                <w:rFonts w:hint="eastAsia" w:ascii="宋体" w:hAnsi="宋体" w:eastAsia="宋体" w:cs="宋体"/>
                <w:b/>
                <w:bCs/>
                <w:color w:val="auto"/>
                <w:kern w:val="2"/>
                <w:sz w:val="21"/>
                <w:szCs w:val="21"/>
                <w:highlight w:val="none"/>
                <w:lang w:val="en-US" w:eastAsia="zh-CN" w:bidi="ar"/>
              </w:rPr>
              <w:t>*6、针对本项目招标文件第三章中带*号的技术参数，投标人需提供：①加盖投标人公章的产品彩页复印件；②加盖投标人公章的所投标品牌的国内或国外官方网站体现该投标型号对应的规格参数的网页截图复印件。</w:t>
            </w:r>
          </w:p>
        </w:tc>
      </w:tr>
      <w:tr w14:paraId="0D49F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14AFCD5C">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41</w:t>
            </w:r>
          </w:p>
        </w:tc>
        <w:tc>
          <w:tcPr>
            <w:tcW w:w="396" w:type="pct"/>
            <w:noWrap w:val="0"/>
            <w:vAlign w:val="center"/>
          </w:tcPr>
          <w:p w14:paraId="615775B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01AF431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424F9552">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b/>
                <w:bCs/>
                <w:color w:val="auto"/>
                <w:kern w:val="2"/>
                <w:sz w:val="21"/>
                <w:szCs w:val="21"/>
                <w:highlight w:val="none"/>
                <w:lang w:val="en-US" w:eastAsia="zh-CN" w:bidi="ar"/>
              </w:rPr>
              <w:t>*7、投标人应在投标文件中提供书面承诺：保证投标产品彩页所注明的技术评分条款中相关规格参数与所投标品牌的国内或国外官方网站的相关信息一致（任一评分条款中的规格参数未体现的情形视为不一致）且在本项目投标截止时间起在所投标品牌的国内或国外官方网站可查询到相关投标型号及规格参数信息。</w:t>
            </w:r>
          </w:p>
        </w:tc>
      </w:tr>
      <w:tr w14:paraId="14D6D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0F55C0AA">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42</w:t>
            </w:r>
          </w:p>
        </w:tc>
        <w:tc>
          <w:tcPr>
            <w:tcW w:w="396" w:type="pct"/>
            <w:noWrap w:val="0"/>
            <w:vAlign w:val="center"/>
          </w:tcPr>
          <w:p w14:paraId="5B45D0E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572085A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47E858B5">
            <w:pPr>
              <w:keepNext w:val="0"/>
              <w:keepLines w:val="0"/>
              <w:widowControl w:val="0"/>
              <w:suppressLineNumbers w:val="0"/>
              <w:shd w:val="clear" w:fill="FFFFFF"/>
              <w:spacing w:before="0" w:beforeAutospacing="0" w:after="0" w:afterAutospacing="0" w:line="360" w:lineRule="auto"/>
              <w:ind w:left="0" w:right="0" w:firstLine="422" w:firstLineChars="200"/>
              <w:jc w:val="both"/>
              <w:rPr>
                <w:rFonts w:hint="eastAsia" w:ascii="宋体" w:hAnsi="宋体" w:eastAsia="宋体" w:cs="Arial"/>
                <w:b/>
                <w:bCs/>
                <w:color w:val="auto"/>
                <w:kern w:val="2"/>
                <w:sz w:val="21"/>
                <w:szCs w:val="21"/>
                <w:highlight w:val="none"/>
                <w:shd w:val="clear" w:fill="FFFFFF"/>
              </w:rPr>
            </w:pPr>
            <w:r>
              <w:rPr>
                <w:rFonts w:hint="eastAsia" w:ascii="宋体" w:hAnsi="宋体" w:eastAsia="宋体" w:cs="宋体"/>
                <w:b/>
                <w:bCs/>
                <w:color w:val="auto"/>
                <w:kern w:val="2"/>
                <w:sz w:val="21"/>
                <w:szCs w:val="21"/>
                <w:highlight w:val="none"/>
                <w:shd w:val="clear" w:fill="FFFFFF"/>
                <w:lang w:val="en-US" w:eastAsia="zh-CN" w:bidi="ar"/>
              </w:rPr>
              <w:t>*8、投标人应在投标文件中提供书面承诺：</w:t>
            </w:r>
            <w:r>
              <w:rPr>
                <w:rFonts w:hint="eastAsia" w:ascii="宋体" w:hAnsi="宋体" w:eastAsia="宋体" w:cs="宋体"/>
                <w:b/>
                <w:bCs/>
                <w:color w:val="auto"/>
                <w:kern w:val="2"/>
                <w:sz w:val="21"/>
                <w:szCs w:val="21"/>
                <w:highlight w:val="none"/>
                <w:lang w:val="en-US" w:eastAsia="zh-CN" w:bidi="ar"/>
              </w:rPr>
              <w:t>投标截止时间起</w:t>
            </w:r>
            <w:r>
              <w:rPr>
                <w:rFonts w:hint="eastAsia" w:ascii="宋体" w:hAnsi="宋体" w:eastAsia="宋体" w:cs="宋体"/>
                <w:b/>
                <w:bCs/>
                <w:color w:val="auto"/>
                <w:kern w:val="2"/>
                <w:sz w:val="21"/>
                <w:szCs w:val="21"/>
                <w:highlight w:val="none"/>
                <w:shd w:val="clear" w:fill="FFFFFF"/>
                <w:lang w:val="en-US" w:eastAsia="zh-CN" w:bidi="ar"/>
              </w:rPr>
              <w:t>90个日历日内若中标供应商出现投标型号及相关规格参数与所投标品牌的国内或国外官方网站体现该投标型号对应规格参数的网页信息不一致的视为虚假应标。若本项目采购合同已签订的，在合同签订后的60个日历日内，采购单位有权单方面解除合同，没收全部供货及售后服务保证金并且有权与第二位中标候选供应商签订合同，同时接受采购单位拒绝中标供应商参与下一年度大宗针式打印机项目的投标。</w:t>
            </w:r>
          </w:p>
          <w:p w14:paraId="3B0FD40E">
            <w:pPr>
              <w:keepNext w:val="0"/>
              <w:keepLines w:val="0"/>
              <w:suppressLineNumbers w:val="0"/>
              <w:shd w:val="clear" w:fill="FFFFFF"/>
              <w:spacing w:before="0" w:beforeAutospacing="0" w:after="0" w:afterAutospacing="0" w:line="360" w:lineRule="auto"/>
              <w:ind w:left="0" w:right="0" w:firstLine="422" w:firstLineChars="200"/>
              <w:rPr>
                <w:rFonts w:hint="eastAsia" w:ascii="宋体" w:hAnsi="宋体" w:eastAsia="宋体" w:cs="宋体"/>
                <w:color w:val="auto"/>
                <w:sz w:val="24"/>
                <w:szCs w:val="24"/>
                <w:highlight w:val="none"/>
              </w:rPr>
            </w:pPr>
            <w:r>
              <w:rPr>
                <w:rFonts w:hint="eastAsia" w:ascii="宋体" w:hAnsi="宋体" w:eastAsia="宋体" w:cs="宋体"/>
                <w:b/>
                <w:bCs/>
                <w:color w:val="auto"/>
                <w:kern w:val="2"/>
                <w:sz w:val="21"/>
                <w:szCs w:val="21"/>
                <w:highlight w:val="none"/>
                <w:shd w:val="clear" w:fill="FFFFFF"/>
                <w:lang w:val="en-US" w:eastAsia="zh-CN" w:bidi="ar"/>
              </w:rPr>
              <w:t>*9、投标人应在投标文件中提供书面承诺：保证所提供加盖投标人公章的产品彩页及所投标品牌的国内或国外官方网站体现该投标型号对应的规格参数的网页截图复印件与所投标品牌市面流通的同一品牌同一型号产品设备（该产品设备可由采购单位从市场上自行购买）内附说明书或光盘信息所体现的规格参数一致，若出现不一致的情形视为虚假应标。若本项目采购合同已签订的，在合同签订后的60个日历日内，采购单位有权单方面解除合同，没收全部供货及售后服务保证金并且有权与第二位中标候选供应商签订合同，同时接受采购单位拒绝中标供应商参与下一年度大宗针式打印机项目的投标。</w:t>
            </w:r>
          </w:p>
        </w:tc>
      </w:tr>
      <w:tr w14:paraId="496F5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29B49874">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43</w:t>
            </w:r>
          </w:p>
        </w:tc>
        <w:tc>
          <w:tcPr>
            <w:tcW w:w="396" w:type="pct"/>
            <w:noWrap w:val="0"/>
            <w:vAlign w:val="center"/>
          </w:tcPr>
          <w:p w14:paraId="20C36B5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1563F45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7CFCB656">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b/>
                <w:bCs/>
                <w:color w:val="auto"/>
                <w:kern w:val="2"/>
                <w:sz w:val="21"/>
                <w:szCs w:val="21"/>
                <w:highlight w:val="none"/>
                <w:lang w:val="en-US" w:eastAsia="zh-CN" w:bidi="ar"/>
              </w:rPr>
              <w:t>*10、投标人若在投标文件中提供相关投标产品检验（检测）报告的，需提供：①加盖投标人公章的检验（检测）报告复印件；②加盖投标人公章的出具该检验（检测）报告机构在“中国国家认证认可监督管理委员会”获准资质认定的网页截图复印件。</w:t>
            </w:r>
          </w:p>
        </w:tc>
      </w:tr>
      <w:tr w14:paraId="74943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1C7EE126">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44</w:t>
            </w:r>
          </w:p>
        </w:tc>
        <w:tc>
          <w:tcPr>
            <w:tcW w:w="396" w:type="pct"/>
            <w:noWrap w:val="0"/>
            <w:vAlign w:val="center"/>
          </w:tcPr>
          <w:p w14:paraId="4221E38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2CBD434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55473FF5">
            <w:pPr>
              <w:keepNext w:val="0"/>
              <w:keepLines w:val="0"/>
              <w:widowControl w:val="0"/>
              <w:suppressLineNumbers w:val="0"/>
              <w:shd w:val="clear" w:fill="FFFFFF"/>
              <w:spacing w:before="0" w:beforeAutospacing="0" w:after="0" w:afterAutospacing="0" w:line="360" w:lineRule="auto"/>
              <w:ind w:left="0" w:right="0" w:firstLine="422" w:firstLineChars="200"/>
              <w:jc w:val="both"/>
              <w:rPr>
                <w:rFonts w:hint="eastAsia" w:ascii="宋体" w:hAnsi="宋体" w:eastAsia="宋体" w:cs="Arial"/>
                <w:b/>
                <w:bCs/>
                <w:color w:val="auto"/>
                <w:kern w:val="2"/>
                <w:sz w:val="21"/>
                <w:szCs w:val="21"/>
                <w:highlight w:val="none"/>
                <w:shd w:val="clear" w:fill="FFFFFF"/>
              </w:rPr>
            </w:pPr>
            <w:r>
              <w:rPr>
                <w:rFonts w:hint="eastAsia" w:ascii="宋体" w:hAnsi="宋体" w:eastAsia="宋体" w:cs="宋体"/>
                <w:b/>
                <w:bCs/>
                <w:color w:val="auto"/>
                <w:kern w:val="2"/>
                <w:sz w:val="21"/>
                <w:szCs w:val="21"/>
                <w:highlight w:val="none"/>
                <w:shd w:val="clear" w:fill="FFFFFF"/>
                <w:lang w:val="en-US" w:eastAsia="zh-CN" w:bidi="ar"/>
              </w:rPr>
              <w:t>*11、投标人若在投标文件中提供相关投标产品检验（检测）报告的，投标人应在投标文件中提供书面承诺：</w:t>
            </w:r>
          </w:p>
          <w:p w14:paraId="0FCA3FF6">
            <w:pPr>
              <w:keepNext w:val="0"/>
              <w:keepLines w:val="0"/>
              <w:widowControl w:val="0"/>
              <w:suppressLineNumbers w:val="0"/>
              <w:shd w:val="clear" w:fill="FFFFFF"/>
              <w:spacing w:before="0" w:beforeAutospacing="0" w:after="0" w:afterAutospacing="0" w:line="360" w:lineRule="auto"/>
              <w:ind w:left="0" w:right="0" w:firstLine="422" w:firstLineChars="200"/>
              <w:jc w:val="both"/>
              <w:rPr>
                <w:rFonts w:hint="eastAsia" w:ascii="宋体" w:hAnsi="宋体" w:eastAsia="宋体" w:cs="Arial"/>
                <w:b/>
                <w:bCs/>
                <w:color w:val="auto"/>
                <w:kern w:val="2"/>
                <w:sz w:val="21"/>
                <w:szCs w:val="21"/>
                <w:highlight w:val="none"/>
                <w:shd w:val="clear" w:fill="FFFFFF"/>
              </w:rPr>
            </w:pPr>
            <w:r>
              <w:rPr>
                <w:rFonts w:hint="eastAsia" w:ascii="宋体" w:hAnsi="宋体" w:eastAsia="宋体" w:cs="宋体"/>
                <w:b/>
                <w:bCs/>
                <w:color w:val="auto"/>
                <w:kern w:val="2"/>
                <w:sz w:val="21"/>
                <w:szCs w:val="21"/>
                <w:highlight w:val="none"/>
                <w:shd w:val="clear" w:fill="FFFFFF"/>
                <w:lang w:val="en-US" w:eastAsia="zh-CN" w:bidi="ar"/>
              </w:rPr>
              <w:t>（1）相关技术参数以检验（检测）报告中的“技术要求”为准且满足测试结果判定为符合要求的作为本项目的评价依据，测试结果的具体指标不作为本采购项目的评价依据。</w:t>
            </w:r>
          </w:p>
          <w:p w14:paraId="013B68F6">
            <w:pPr>
              <w:keepNext w:val="0"/>
              <w:keepLines w:val="0"/>
              <w:widowControl w:val="0"/>
              <w:suppressLineNumbers w:val="0"/>
              <w:shd w:val="clear" w:fill="FFFFFF"/>
              <w:spacing w:before="0" w:beforeAutospacing="0" w:after="0" w:afterAutospacing="0" w:line="360" w:lineRule="auto"/>
              <w:ind w:left="0" w:right="0" w:firstLine="422" w:firstLineChars="200"/>
              <w:jc w:val="both"/>
              <w:rPr>
                <w:rFonts w:hint="eastAsia" w:ascii="宋体" w:hAnsi="宋体" w:eastAsia="宋体" w:cs="Arial"/>
                <w:b/>
                <w:bCs/>
                <w:color w:val="auto"/>
                <w:kern w:val="2"/>
                <w:sz w:val="21"/>
                <w:szCs w:val="21"/>
                <w:highlight w:val="none"/>
                <w:shd w:val="clear" w:fill="FFFFFF"/>
              </w:rPr>
            </w:pPr>
            <w:r>
              <w:rPr>
                <w:rFonts w:hint="eastAsia" w:ascii="宋体" w:hAnsi="宋体" w:eastAsia="宋体" w:cs="宋体"/>
                <w:b/>
                <w:bCs/>
                <w:color w:val="auto"/>
                <w:kern w:val="2"/>
                <w:sz w:val="21"/>
                <w:szCs w:val="21"/>
                <w:highlight w:val="none"/>
                <w:shd w:val="clear" w:fill="FFFFFF"/>
                <w:lang w:val="en-US" w:eastAsia="zh-CN" w:bidi="ar"/>
              </w:rPr>
              <w:t>（2）检验（检测）报告复印件上体现的检验（检测）机构名称及资质证书号必须与出具该检验（检测）报告机构在“中国国家认证认可监督管理委员会”获准资质认定的网页截图复印件的检验（检测）机构名称及资质证书号信息一致[检验（检测）机构名称及资质证书号任何一项未体现的情形视为不一致，不一致的视为无效投标。</w:t>
            </w:r>
          </w:p>
          <w:p w14:paraId="33A2A538">
            <w:pPr>
              <w:keepNext w:val="0"/>
              <w:keepLines w:val="0"/>
              <w:widowControl w:val="0"/>
              <w:suppressLineNumbers w:val="0"/>
              <w:shd w:val="clear" w:fill="FFFFFF"/>
              <w:spacing w:before="0" w:beforeAutospacing="0" w:after="0" w:afterAutospacing="0" w:line="360" w:lineRule="auto"/>
              <w:ind w:left="0" w:right="0" w:firstLine="422" w:firstLineChars="200"/>
              <w:jc w:val="both"/>
              <w:rPr>
                <w:rFonts w:hint="eastAsia" w:ascii="宋体" w:hAnsi="宋体" w:eastAsia="宋体" w:cs="Arial"/>
                <w:b/>
                <w:bCs/>
                <w:color w:val="auto"/>
                <w:kern w:val="2"/>
                <w:sz w:val="21"/>
                <w:szCs w:val="21"/>
                <w:highlight w:val="none"/>
                <w:shd w:val="clear" w:fill="FFFFFF"/>
              </w:rPr>
            </w:pPr>
            <w:r>
              <w:rPr>
                <w:rFonts w:hint="eastAsia" w:ascii="宋体" w:hAnsi="宋体" w:eastAsia="宋体" w:cs="宋体"/>
                <w:b/>
                <w:bCs/>
                <w:color w:val="auto"/>
                <w:kern w:val="2"/>
                <w:sz w:val="21"/>
                <w:szCs w:val="21"/>
                <w:highlight w:val="none"/>
                <w:shd w:val="clear" w:fill="FFFFFF"/>
                <w:lang w:val="en-US" w:eastAsia="zh-CN" w:bidi="ar"/>
              </w:rPr>
              <w:t>（3）检验（检测）报告的委托或送检单位必须为所投标品牌的制造商或制造商的关联企业。</w:t>
            </w:r>
          </w:p>
          <w:p w14:paraId="0F5E21E9">
            <w:pPr>
              <w:keepNext w:val="0"/>
              <w:keepLines w:val="0"/>
              <w:widowControl w:val="0"/>
              <w:suppressLineNumbers w:val="0"/>
              <w:shd w:val="clear" w:fill="FFFFFF"/>
              <w:spacing w:before="0" w:beforeAutospacing="0" w:after="0" w:afterAutospacing="0" w:line="360" w:lineRule="auto"/>
              <w:ind w:left="0" w:right="0" w:firstLine="422" w:firstLineChars="200"/>
              <w:jc w:val="both"/>
              <w:rPr>
                <w:rFonts w:hint="eastAsia" w:ascii="宋体" w:hAnsi="宋体" w:eastAsia="宋体" w:cs="Arial"/>
                <w:b/>
                <w:bCs/>
                <w:color w:val="auto"/>
                <w:kern w:val="2"/>
                <w:sz w:val="21"/>
                <w:szCs w:val="21"/>
                <w:highlight w:val="none"/>
                <w:shd w:val="clear" w:fill="FFFFFF"/>
              </w:rPr>
            </w:pPr>
            <w:r>
              <w:rPr>
                <w:rFonts w:hint="eastAsia" w:ascii="宋体" w:hAnsi="宋体" w:eastAsia="宋体" w:cs="宋体"/>
                <w:b/>
                <w:bCs/>
                <w:color w:val="auto"/>
                <w:kern w:val="2"/>
                <w:sz w:val="21"/>
                <w:szCs w:val="21"/>
                <w:highlight w:val="none"/>
                <w:shd w:val="clear" w:fill="FFFFFF"/>
                <w:lang w:val="en-US" w:eastAsia="zh-CN" w:bidi="ar"/>
              </w:rPr>
              <w:t>（4）检验（检测）机构必须属“中国国家认证认可监督管理委员会”获准资质认定机构范围内且检验（检测）机构的资质证书号及资质状态的生效日期必须在本项目投标截止时间前。</w:t>
            </w:r>
          </w:p>
          <w:p w14:paraId="0D8F4B40">
            <w:pPr>
              <w:keepNext w:val="0"/>
              <w:keepLines w:val="0"/>
              <w:suppressLineNumbers w:val="0"/>
              <w:shd w:val="clear" w:fill="FFFFFF"/>
              <w:spacing w:before="0" w:beforeAutospacing="0" w:after="0" w:afterAutospacing="0" w:line="360" w:lineRule="auto"/>
              <w:ind w:left="0" w:right="0" w:firstLine="422" w:firstLineChars="200"/>
              <w:rPr>
                <w:rFonts w:hint="eastAsia" w:ascii="宋体" w:hAnsi="宋体" w:eastAsia="宋体" w:cs="宋体"/>
                <w:color w:val="auto"/>
                <w:sz w:val="24"/>
                <w:szCs w:val="24"/>
                <w:highlight w:val="none"/>
              </w:rPr>
            </w:pPr>
            <w:r>
              <w:rPr>
                <w:rFonts w:hint="eastAsia" w:ascii="宋体" w:hAnsi="宋体" w:eastAsia="宋体" w:cs="宋体"/>
                <w:b/>
                <w:bCs/>
                <w:color w:val="auto"/>
                <w:kern w:val="2"/>
                <w:sz w:val="21"/>
                <w:szCs w:val="21"/>
                <w:highlight w:val="none"/>
                <w:shd w:val="clear" w:fill="FFFFFF"/>
                <w:lang w:val="en-US" w:eastAsia="zh-CN" w:bidi="ar"/>
              </w:rPr>
              <w:t>（5）在本项目</w:t>
            </w:r>
            <w:r>
              <w:rPr>
                <w:rFonts w:hint="eastAsia" w:ascii="宋体" w:hAnsi="宋体" w:eastAsia="宋体" w:cs="宋体"/>
                <w:b/>
                <w:bCs/>
                <w:color w:val="auto"/>
                <w:kern w:val="2"/>
                <w:sz w:val="21"/>
                <w:szCs w:val="21"/>
                <w:highlight w:val="none"/>
                <w:lang w:val="en-US" w:eastAsia="zh-CN" w:bidi="ar"/>
              </w:rPr>
              <w:t>投标截止时间起</w:t>
            </w:r>
            <w:r>
              <w:rPr>
                <w:rFonts w:hint="eastAsia" w:ascii="宋体" w:hAnsi="宋体" w:eastAsia="宋体" w:cs="宋体"/>
                <w:b/>
                <w:bCs/>
                <w:color w:val="auto"/>
                <w:kern w:val="2"/>
                <w:sz w:val="21"/>
                <w:szCs w:val="21"/>
                <w:highlight w:val="none"/>
                <w:shd w:val="clear" w:fill="FFFFFF"/>
                <w:lang w:val="en-US" w:eastAsia="zh-CN" w:bidi="ar"/>
              </w:rPr>
              <w:t>在“中国国家认证认可监督管理委员会”网站（http://www.cnca.gov.cn/）可查询到相关检验（检测）机构的资质证书号及资质状态。</w:t>
            </w:r>
          </w:p>
        </w:tc>
      </w:tr>
      <w:tr w14:paraId="215AB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22DFCC86">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45</w:t>
            </w:r>
          </w:p>
        </w:tc>
        <w:tc>
          <w:tcPr>
            <w:tcW w:w="396" w:type="pct"/>
            <w:noWrap w:val="0"/>
            <w:vAlign w:val="center"/>
          </w:tcPr>
          <w:p w14:paraId="6DDAAC2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5032A51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3E6C4B9A">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b/>
                <w:bCs/>
                <w:color w:val="auto"/>
                <w:kern w:val="2"/>
                <w:sz w:val="21"/>
                <w:szCs w:val="21"/>
                <w:highlight w:val="none"/>
                <w:lang w:val="en-US" w:eastAsia="zh-CN" w:bidi="ar"/>
              </w:rPr>
              <w:t>*12、投标人应在投标文件中提供书面承诺：投标人若在投标文件中提供相关检验（检测）报告的，投标截止时间起90个日历日内若中标供应商出现投标型号的检验（检测）报告所对应的检验（检测）机构的资质证书号及资质状态与“中国国家认证认可监督管理委员会”网站（http://www.cnca.gov.cn/）体现该检验（检测）机构对应资质证书号及资质状态的网页信息不一致的视为虚假应标。若本项目采购合同已签订的，在合同签订后的60个日历日内，采购单位有权单方面解除合同，没收全部供货及售后服务保证金并且有权与第二位中标候选供应商签订合同，同时接受采购单位拒绝中标供应商参与下一年度大宗针式打印机项目的投标。</w:t>
            </w:r>
          </w:p>
        </w:tc>
      </w:tr>
      <w:tr w14:paraId="0DFF1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1317B3B2">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46</w:t>
            </w:r>
          </w:p>
        </w:tc>
        <w:tc>
          <w:tcPr>
            <w:tcW w:w="396" w:type="pct"/>
            <w:noWrap w:val="0"/>
            <w:vAlign w:val="center"/>
          </w:tcPr>
          <w:p w14:paraId="04B3E8F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390BCA2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600C41FF">
            <w:pPr>
              <w:keepNext w:val="0"/>
              <w:keepLines w:val="0"/>
              <w:widowControl w:val="0"/>
              <w:suppressLineNumbers w:val="0"/>
              <w:shd w:val="clear" w:fill="FFFFFF"/>
              <w:spacing w:before="0" w:beforeAutospacing="0" w:after="0" w:afterAutospacing="0" w:line="360" w:lineRule="auto"/>
              <w:ind w:left="0" w:right="0" w:firstLine="422" w:firstLineChars="200"/>
              <w:jc w:val="both"/>
              <w:rPr>
                <w:rFonts w:hint="eastAsia" w:ascii="宋体" w:hAnsi="宋体" w:eastAsia="宋体" w:cs="Arial"/>
                <w:b/>
                <w:bCs/>
                <w:color w:val="auto"/>
                <w:kern w:val="2"/>
                <w:sz w:val="21"/>
                <w:szCs w:val="21"/>
                <w:highlight w:val="none"/>
                <w:shd w:val="clear" w:fill="FFFFFF"/>
              </w:rPr>
            </w:pPr>
            <w:r>
              <w:rPr>
                <w:rFonts w:hint="eastAsia" w:ascii="宋体" w:hAnsi="宋体" w:eastAsia="宋体" w:cs="宋体"/>
                <w:b/>
                <w:bCs/>
                <w:color w:val="auto"/>
                <w:kern w:val="2"/>
                <w:sz w:val="21"/>
                <w:szCs w:val="21"/>
                <w:highlight w:val="none"/>
                <w:shd w:val="clear" w:fill="FFFFFF"/>
                <w:lang w:val="en-US" w:eastAsia="zh-CN" w:bidi="ar"/>
              </w:rPr>
              <w:t>*13、投标人应在投标文件中提供书面承诺：</w:t>
            </w:r>
          </w:p>
          <w:p w14:paraId="52CBD7DD">
            <w:pPr>
              <w:keepNext w:val="0"/>
              <w:keepLines w:val="0"/>
              <w:widowControl w:val="0"/>
              <w:suppressLineNumbers w:val="0"/>
              <w:shd w:val="clear" w:fill="FFFFFF"/>
              <w:spacing w:before="0" w:beforeAutospacing="0" w:after="0" w:afterAutospacing="0" w:line="360" w:lineRule="auto"/>
              <w:ind w:left="0" w:right="0" w:firstLine="422" w:firstLineChars="200"/>
              <w:jc w:val="both"/>
              <w:rPr>
                <w:rFonts w:hint="eastAsia" w:ascii="宋体" w:hAnsi="宋体" w:eastAsia="宋体" w:cs="Arial"/>
                <w:b/>
                <w:bCs/>
                <w:color w:val="auto"/>
                <w:kern w:val="2"/>
                <w:sz w:val="21"/>
                <w:szCs w:val="21"/>
                <w:highlight w:val="none"/>
                <w:shd w:val="clear" w:fill="FFFFFF"/>
              </w:rPr>
            </w:pPr>
            <w:r>
              <w:rPr>
                <w:rFonts w:hint="eastAsia" w:ascii="宋体" w:hAnsi="宋体" w:eastAsia="宋体" w:cs="宋体"/>
                <w:b/>
                <w:bCs/>
                <w:color w:val="auto"/>
                <w:kern w:val="2"/>
                <w:sz w:val="21"/>
                <w:szCs w:val="21"/>
                <w:highlight w:val="none"/>
                <w:shd w:val="clear" w:fill="FFFFFF"/>
                <w:lang w:val="en-US" w:eastAsia="zh-CN" w:bidi="ar"/>
              </w:rPr>
              <w:t>针对本项目招标文件中第二章中的“技术评分”条款及第三章中“</w:t>
            </w:r>
            <w:r>
              <w:rPr>
                <w:rFonts w:hint="eastAsia" w:ascii="宋体" w:hAnsi="宋体" w:eastAsia="宋体" w:cs="宋体"/>
                <w:b/>
                <w:bCs/>
                <w:color w:val="auto"/>
                <w:kern w:val="2"/>
                <w:sz w:val="21"/>
                <w:szCs w:val="21"/>
                <w:highlight w:val="none"/>
                <w:lang w:val="en-US" w:eastAsia="zh-CN" w:bidi="ar"/>
              </w:rPr>
              <w:t>主要技术参数</w:t>
            </w:r>
            <w:r>
              <w:rPr>
                <w:rFonts w:hint="eastAsia" w:ascii="宋体" w:hAnsi="宋体" w:eastAsia="宋体" w:cs="宋体"/>
                <w:b/>
                <w:bCs/>
                <w:color w:val="auto"/>
                <w:kern w:val="2"/>
                <w:sz w:val="21"/>
                <w:szCs w:val="21"/>
                <w:highlight w:val="none"/>
                <w:shd w:val="clear" w:fill="FFFFFF"/>
                <w:lang w:val="en-US" w:eastAsia="zh-CN" w:bidi="ar"/>
              </w:rPr>
              <w:t>”部分，根据投标人所提供的：①产品彩页；②所投标品牌的国内或国外官方网站体现该投标型号对应的规格参数的网页截图复印件；③投标产品的检验（检测）报告；④投标品牌市面流通的同一品牌同一型号产品设备（该产品设备可由采购单位从市场上自行购买）内附说明书或光盘信息；⑤我司针对本项目的投标响应文件。若上述材料或文件出现技术参数不一致的，投标人接受以如下参数选择作为评价（评分）依据：</w:t>
            </w:r>
          </w:p>
          <w:p w14:paraId="04E6F5BB">
            <w:pPr>
              <w:keepNext w:val="0"/>
              <w:keepLines w:val="0"/>
              <w:widowControl w:val="0"/>
              <w:suppressLineNumbers w:val="0"/>
              <w:shd w:val="clear" w:fill="FFFFFF"/>
              <w:spacing w:before="0" w:beforeAutospacing="0" w:after="0" w:afterAutospacing="0" w:line="360" w:lineRule="auto"/>
              <w:ind w:left="0" w:right="0" w:firstLine="422" w:firstLineChars="200"/>
              <w:jc w:val="both"/>
              <w:rPr>
                <w:rFonts w:hint="eastAsia" w:ascii="宋体" w:hAnsi="宋体" w:eastAsia="宋体" w:cs="Arial"/>
                <w:b/>
                <w:bCs/>
                <w:color w:val="auto"/>
                <w:kern w:val="2"/>
                <w:sz w:val="21"/>
                <w:szCs w:val="21"/>
                <w:highlight w:val="none"/>
                <w:shd w:val="clear" w:fill="FFFFFF"/>
              </w:rPr>
            </w:pPr>
            <w:r>
              <w:rPr>
                <w:rFonts w:hint="eastAsia" w:ascii="宋体" w:hAnsi="宋体" w:eastAsia="宋体" w:cs="宋体"/>
                <w:b/>
                <w:bCs/>
                <w:color w:val="auto"/>
                <w:kern w:val="2"/>
                <w:sz w:val="21"/>
                <w:szCs w:val="21"/>
                <w:highlight w:val="none"/>
                <w:shd w:val="clear" w:fill="FFFFFF"/>
                <w:lang w:val="en-US" w:eastAsia="zh-CN" w:bidi="ar"/>
              </w:rPr>
              <w:t>针数：取最小值</w:t>
            </w:r>
          </w:p>
          <w:p w14:paraId="4D9A42F8">
            <w:pPr>
              <w:keepNext w:val="0"/>
              <w:keepLines w:val="0"/>
              <w:widowControl w:val="0"/>
              <w:suppressLineNumbers w:val="0"/>
              <w:shd w:val="clear" w:fill="FFFFFF"/>
              <w:spacing w:before="0" w:beforeAutospacing="0" w:after="0" w:afterAutospacing="0" w:line="360" w:lineRule="auto"/>
              <w:ind w:left="0" w:right="0" w:firstLine="422" w:firstLineChars="200"/>
              <w:jc w:val="both"/>
              <w:rPr>
                <w:rFonts w:hint="eastAsia" w:ascii="宋体" w:hAnsi="宋体" w:eastAsia="宋体" w:cs="Arial"/>
                <w:b/>
                <w:bCs/>
                <w:color w:val="auto"/>
                <w:kern w:val="2"/>
                <w:sz w:val="21"/>
                <w:szCs w:val="21"/>
                <w:highlight w:val="none"/>
                <w:shd w:val="clear" w:fill="FFFFFF"/>
              </w:rPr>
            </w:pPr>
            <w:r>
              <w:rPr>
                <w:rFonts w:hint="eastAsia" w:ascii="宋体" w:hAnsi="宋体" w:eastAsia="宋体" w:cs="宋体"/>
                <w:b/>
                <w:bCs/>
                <w:color w:val="auto"/>
                <w:kern w:val="2"/>
                <w:sz w:val="21"/>
                <w:szCs w:val="21"/>
                <w:highlight w:val="none"/>
                <w:shd w:val="clear" w:fill="FFFFFF"/>
                <w:lang w:val="en-US" w:eastAsia="zh-CN" w:bidi="ar"/>
              </w:rPr>
              <w:t>打印速度：取最小值</w:t>
            </w:r>
          </w:p>
          <w:p w14:paraId="7E4D46EF">
            <w:pPr>
              <w:keepNext w:val="0"/>
              <w:keepLines w:val="0"/>
              <w:widowControl w:val="0"/>
              <w:suppressLineNumbers w:val="0"/>
              <w:shd w:val="clear" w:fill="FFFFFF"/>
              <w:spacing w:before="0" w:beforeAutospacing="0" w:after="0" w:afterAutospacing="0" w:line="360" w:lineRule="auto"/>
              <w:ind w:left="0" w:right="0" w:firstLine="422" w:firstLineChars="200"/>
              <w:jc w:val="both"/>
              <w:rPr>
                <w:rFonts w:hint="eastAsia" w:ascii="宋体" w:hAnsi="宋体" w:eastAsia="宋体" w:cs="Arial"/>
                <w:b/>
                <w:bCs/>
                <w:color w:val="auto"/>
                <w:kern w:val="2"/>
                <w:sz w:val="21"/>
                <w:szCs w:val="21"/>
                <w:highlight w:val="none"/>
                <w:shd w:val="clear" w:fill="FFFFFF"/>
              </w:rPr>
            </w:pPr>
            <w:r>
              <w:rPr>
                <w:rFonts w:hint="eastAsia" w:ascii="宋体" w:hAnsi="宋体" w:eastAsia="宋体" w:cs="宋体"/>
                <w:b/>
                <w:bCs/>
                <w:color w:val="auto"/>
                <w:kern w:val="2"/>
                <w:sz w:val="21"/>
                <w:szCs w:val="21"/>
                <w:highlight w:val="none"/>
                <w:shd w:val="clear" w:fill="FFFFFF"/>
                <w:lang w:val="en-US" w:eastAsia="zh-CN" w:bidi="ar"/>
              </w:rPr>
              <w:t>打印厚度: 取最小值</w:t>
            </w:r>
          </w:p>
          <w:p w14:paraId="4CAA87A3">
            <w:pPr>
              <w:keepNext w:val="0"/>
              <w:keepLines w:val="0"/>
              <w:widowControl w:val="0"/>
              <w:suppressLineNumbers w:val="0"/>
              <w:shd w:val="clear" w:fill="FFFFFF"/>
              <w:spacing w:before="0" w:beforeAutospacing="0" w:after="0" w:afterAutospacing="0" w:line="360" w:lineRule="auto"/>
              <w:ind w:left="0" w:right="0" w:firstLine="422" w:firstLineChars="200"/>
              <w:jc w:val="both"/>
              <w:rPr>
                <w:rFonts w:hint="eastAsia" w:ascii="宋体" w:hAnsi="宋体" w:eastAsia="宋体" w:cs="Arial"/>
                <w:b/>
                <w:bCs/>
                <w:color w:val="auto"/>
                <w:kern w:val="2"/>
                <w:sz w:val="21"/>
                <w:szCs w:val="21"/>
                <w:highlight w:val="none"/>
                <w:shd w:val="clear" w:fill="FFFFFF"/>
              </w:rPr>
            </w:pPr>
            <w:r>
              <w:rPr>
                <w:rFonts w:hint="eastAsia" w:ascii="宋体" w:hAnsi="宋体" w:eastAsia="宋体" w:cs="宋体"/>
                <w:b/>
                <w:bCs/>
                <w:color w:val="auto"/>
                <w:kern w:val="2"/>
                <w:sz w:val="21"/>
                <w:szCs w:val="21"/>
                <w:highlight w:val="none"/>
                <w:shd w:val="clear" w:fill="FFFFFF"/>
                <w:lang w:val="en-US" w:eastAsia="zh-CN" w:bidi="ar"/>
              </w:rPr>
              <w:t>复写能力：取最小值</w:t>
            </w:r>
          </w:p>
          <w:p w14:paraId="2AD78452">
            <w:pPr>
              <w:keepNext w:val="0"/>
              <w:keepLines w:val="0"/>
              <w:suppressLineNumbers w:val="0"/>
              <w:shd w:val="clear" w:fill="FFFFFF"/>
              <w:spacing w:before="0" w:beforeAutospacing="0" w:after="0" w:afterAutospacing="0" w:line="360" w:lineRule="auto"/>
              <w:ind w:left="0" w:right="0" w:firstLine="422" w:firstLineChars="200"/>
              <w:rPr>
                <w:rFonts w:hint="eastAsia" w:ascii="宋体" w:hAnsi="宋体" w:eastAsia="宋体" w:cs="宋体"/>
                <w:color w:val="auto"/>
                <w:sz w:val="24"/>
                <w:szCs w:val="24"/>
                <w:highlight w:val="none"/>
              </w:rPr>
            </w:pPr>
            <w:r>
              <w:rPr>
                <w:rFonts w:hint="eastAsia" w:ascii="宋体" w:hAnsi="宋体" w:eastAsia="宋体" w:cs="宋体"/>
                <w:b/>
                <w:bCs/>
                <w:color w:val="auto"/>
                <w:kern w:val="2"/>
                <w:sz w:val="21"/>
                <w:szCs w:val="21"/>
                <w:highlight w:val="none"/>
                <w:shd w:val="clear" w:fill="FFFFFF"/>
                <w:lang w:val="en-US" w:eastAsia="zh-CN" w:bidi="ar"/>
              </w:rPr>
              <w:t>中文超高速打印速度：取最小值</w:t>
            </w:r>
          </w:p>
        </w:tc>
      </w:tr>
      <w:tr w14:paraId="492A9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2A6F91F2">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47</w:t>
            </w:r>
          </w:p>
        </w:tc>
        <w:tc>
          <w:tcPr>
            <w:tcW w:w="396" w:type="pct"/>
            <w:noWrap w:val="0"/>
            <w:vAlign w:val="center"/>
          </w:tcPr>
          <w:p w14:paraId="3B9D989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2DACAC0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54E0C845">
            <w:pPr>
              <w:keepNext w:val="0"/>
              <w:keepLines w:val="0"/>
              <w:suppressLineNumbers w:val="0"/>
              <w:shd w:val="clear" w:fill="FFFFFF"/>
              <w:spacing w:before="0" w:beforeAutospacing="0" w:after="0" w:afterAutospacing="0" w:line="360" w:lineRule="auto"/>
              <w:ind w:left="0" w:right="0" w:firstLine="422" w:firstLineChars="200"/>
              <w:rPr>
                <w:rFonts w:hint="eastAsia" w:ascii="宋体" w:hAnsi="宋体" w:eastAsia="宋体" w:cs="宋体"/>
                <w:color w:val="auto"/>
                <w:sz w:val="24"/>
                <w:szCs w:val="24"/>
                <w:highlight w:val="none"/>
              </w:rPr>
            </w:pPr>
            <w:r>
              <w:rPr>
                <w:rFonts w:hint="eastAsia" w:ascii="宋体" w:hAnsi="宋体" w:eastAsia="宋体" w:cs="宋体"/>
                <w:b/>
                <w:bCs/>
                <w:color w:val="auto"/>
                <w:kern w:val="2"/>
                <w:sz w:val="21"/>
                <w:szCs w:val="21"/>
                <w:highlight w:val="none"/>
                <w:shd w:val="clear" w:fill="FFFFFF"/>
                <w:lang w:val="en-US" w:eastAsia="zh-CN" w:bidi="ar"/>
              </w:rPr>
              <w:t>*14、针对本项中的</w:t>
            </w:r>
            <w:r>
              <w:rPr>
                <w:rFonts w:hint="eastAsia" w:ascii="宋体" w:hAnsi="宋体" w:eastAsia="宋体" w:cs="宋体"/>
                <w:b/>
                <w:bCs/>
                <w:color w:val="auto"/>
                <w:kern w:val="2"/>
                <w:sz w:val="21"/>
                <w:szCs w:val="21"/>
                <w:highlight w:val="none"/>
                <w:lang w:val="en-US" w:eastAsia="zh-CN" w:bidi="ar"/>
              </w:rPr>
              <w:t>第“*6”至”“*13”</w:t>
            </w:r>
            <w:r>
              <w:rPr>
                <w:rFonts w:hint="eastAsia" w:ascii="宋体" w:hAnsi="宋体" w:eastAsia="宋体" w:cs="宋体"/>
                <w:b/>
                <w:bCs/>
                <w:color w:val="auto"/>
                <w:kern w:val="2"/>
                <w:sz w:val="21"/>
                <w:szCs w:val="21"/>
                <w:highlight w:val="none"/>
                <w:shd w:val="clear" w:fill="FFFFFF"/>
                <w:lang w:val="en-US" w:eastAsia="zh-CN" w:bidi="ar"/>
              </w:rPr>
              <w:t>的要求，投标人应按《承诺函》格式提交加盖投标人公章的书面承诺函</w:t>
            </w:r>
            <w:r>
              <w:rPr>
                <w:rFonts w:hint="eastAsia" w:ascii="宋体" w:hAnsi="宋体" w:eastAsia="宋体" w:cs="宋体"/>
                <w:b/>
                <w:bCs/>
                <w:color w:val="auto"/>
                <w:kern w:val="2"/>
                <w:sz w:val="21"/>
                <w:szCs w:val="21"/>
                <w:highlight w:val="none"/>
                <w:lang w:val="en-US" w:eastAsia="zh-CN" w:bidi="ar"/>
              </w:rPr>
              <w:t>（详见第五章投标文件格式）</w:t>
            </w:r>
            <w:r>
              <w:rPr>
                <w:rFonts w:hint="eastAsia" w:ascii="宋体" w:hAnsi="宋体" w:eastAsia="宋体" w:cs="宋体"/>
                <w:b/>
                <w:bCs/>
                <w:color w:val="auto"/>
                <w:kern w:val="2"/>
                <w:sz w:val="21"/>
                <w:szCs w:val="21"/>
                <w:highlight w:val="none"/>
                <w:shd w:val="clear" w:fill="FFFFFF"/>
                <w:lang w:val="en-US" w:eastAsia="zh-CN" w:bidi="ar"/>
              </w:rPr>
              <w:t>，否则视为无效投标。</w:t>
            </w:r>
          </w:p>
        </w:tc>
      </w:tr>
      <w:tr w14:paraId="4625A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288E2A2E">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48</w:t>
            </w:r>
          </w:p>
        </w:tc>
        <w:tc>
          <w:tcPr>
            <w:tcW w:w="396" w:type="pct"/>
            <w:noWrap w:val="0"/>
            <w:vAlign w:val="center"/>
          </w:tcPr>
          <w:p w14:paraId="2B68151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7AFAE3B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4C63EE1A">
            <w:pPr>
              <w:keepNext w:val="0"/>
              <w:keepLines w:val="0"/>
              <w:widowControl w:val="0"/>
              <w:suppressLineNumbers w:val="0"/>
              <w:spacing w:before="0" w:beforeAutospacing="0" w:after="0" w:afterAutospacing="0" w:line="360" w:lineRule="auto"/>
              <w:ind w:left="0" w:right="0" w:firstLine="422" w:firstLineChars="200"/>
              <w:jc w:val="both"/>
              <w:rPr>
                <w:rFonts w:hint="eastAsia" w:ascii="宋体" w:hAnsi="宋体" w:eastAsia="宋体" w:cs="Arial"/>
                <w:b/>
                <w:bCs/>
                <w:color w:val="auto"/>
                <w:kern w:val="2"/>
                <w:sz w:val="21"/>
                <w:szCs w:val="21"/>
                <w:highlight w:val="none"/>
              </w:rPr>
            </w:pPr>
            <w:r>
              <w:rPr>
                <w:rFonts w:hint="eastAsia" w:ascii="宋体" w:hAnsi="宋体" w:eastAsia="宋体" w:cs="宋体"/>
                <w:b/>
                <w:bCs/>
                <w:color w:val="auto"/>
                <w:kern w:val="2"/>
                <w:sz w:val="21"/>
                <w:szCs w:val="21"/>
                <w:highlight w:val="none"/>
                <w:lang w:val="en-US" w:eastAsia="zh-CN" w:bidi="ar"/>
              </w:rPr>
              <w:t>*15、本次投标不接受本采购项目在上一期采购中因违背相关承诺（上述《承诺函》中的内容）的投标人。</w:t>
            </w:r>
          </w:p>
          <w:p w14:paraId="3D5E9B7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53CAD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02E91C37">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49</w:t>
            </w:r>
          </w:p>
        </w:tc>
        <w:tc>
          <w:tcPr>
            <w:tcW w:w="396" w:type="pct"/>
            <w:noWrap w:val="0"/>
            <w:vAlign w:val="center"/>
          </w:tcPr>
          <w:p w14:paraId="0D079A1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2AF388D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621E20CE">
            <w:pPr>
              <w:keepNext w:val="0"/>
              <w:keepLines w:val="0"/>
              <w:suppressLineNumbers w:val="0"/>
              <w:spacing w:before="0" w:beforeAutospacing="0" w:after="0" w:afterAutospacing="0" w:line="360" w:lineRule="auto"/>
              <w:ind w:left="0" w:right="0" w:firstLine="422" w:firstLineChars="200"/>
              <w:rPr>
                <w:rFonts w:hint="eastAsia" w:ascii="宋体" w:hAnsi="宋体" w:eastAsia="宋体" w:cs="宋体"/>
                <w:color w:val="auto"/>
                <w:sz w:val="24"/>
                <w:szCs w:val="24"/>
                <w:highlight w:val="none"/>
              </w:rPr>
            </w:pPr>
            <w:r>
              <w:rPr>
                <w:rFonts w:hint="eastAsia" w:ascii="宋体" w:hAnsi="宋体" w:eastAsia="宋体" w:cs="宋体"/>
                <w:b/>
                <w:bCs/>
                <w:color w:val="auto"/>
                <w:kern w:val="2"/>
                <w:sz w:val="21"/>
                <w:szCs w:val="21"/>
                <w:highlight w:val="none"/>
                <w:lang w:val="en-US" w:eastAsia="zh-CN" w:bidi="ar"/>
              </w:rPr>
              <w:t>*16、采购周期：2年。</w:t>
            </w:r>
          </w:p>
        </w:tc>
      </w:tr>
      <w:tr w14:paraId="2F414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73D5E688">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50</w:t>
            </w:r>
          </w:p>
        </w:tc>
        <w:tc>
          <w:tcPr>
            <w:tcW w:w="396" w:type="pct"/>
            <w:noWrap w:val="0"/>
            <w:vAlign w:val="center"/>
          </w:tcPr>
          <w:p w14:paraId="6B2E6E9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2C831E2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43201404">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1"/>
                <w:szCs w:val="21"/>
                <w:highlight w:val="none"/>
                <w:lang w:val="en-US" w:eastAsia="zh-CN" w:bidi="ar"/>
              </w:rPr>
              <w:t>*1、投标人承诺设备自最终验收合格之日起应当提供整机至少一年免费上门保修，同时保证保修年限不低于所投品牌型号的官网标准。</w:t>
            </w:r>
          </w:p>
        </w:tc>
      </w:tr>
      <w:tr w14:paraId="54DFB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6009A72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96" w:type="pct"/>
            <w:noWrap w:val="0"/>
            <w:vAlign w:val="center"/>
          </w:tcPr>
          <w:p w14:paraId="7B32D75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4D052E3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3EA5C62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1"/>
                <w:szCs w:val="21"/>
                <w:highlight w:val="none"/>
                <w:lang w:val="en-US" w:eastAsia="zh-CN" w:bidi="ar"/>
              </w:rPr>
              <w:t>*2、投标人应在投标文件中提供具体的售后服务承诺条款。</w:t>
            </w:r>
          </w:p>
        </w:tc>
      </w:tr>
      <w:tr w14:paraId="51FED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23B32C7C">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51</w:t>
            </w:r>
          </w:p>
        </w:tc>
        <w:tc>
          <w:tcPr>
            <w:tcW w:w="396" w:type="pct"/>
            <w:noWrap w:val="0"/>
            <w:vAlign w:val="center"/>
          </w:tcPr>
          <w:p w14:paraId="06E48BB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1E3AC57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0968385F">
            <w:pPr>
              <w:keepNext w:val="0"/>
              <w:keepLines w:val="0"/>
              <w:suppressLineNumbers w:val="0"/>
              <w:spacing w:before="0" w:beforeAutospacing="0" w:after="0" w:afterAutospacing="0" w:line="360" w:lineRule="auto"/>
              <w:ind w:left="0" w:right="0" w:firstLine="422" w:firstLineChars="20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1"/>
                <w:szCs w:val="21"/>
                <w:highlight w:val="none"/>
                <w:lang w:val="en-US" w:eastAsia="zh-CN" w:bidi="ar"/>
              </w:rPr>
              <w:t>*3、</w:t>
            </w:r>
            <w:r>
              <w:rPr>
                <w:rFonts w:hint="eastAsia" w:ascii="宋体" w:hAnsi="宋体" w:eastAsia="宋体" w:cs="宋体"/>
                <w:b/>
                <w:bCs/>
                <w:color w:val="auto"/>
                <w:kern w:val="2"/>
                <w:sz w:val="21"/>
                <w:szCs w:val="21"/>
                <w:highlight w:val="none"/>
                <w:lang w:val="en-US" w:eastAsia="zh-CN" w:bidi="ar"/>
              </w:rPr>
              <w:t>投标人应在投标文件中提供书面承诺：</w:t>
            </w:r>
            <w:r>
              <w:rPr>
                <w:rFonts w:hint="eastAsia" w:ascii="宋体" w:hAnsi="宋体" w:eastAsia="宋体" w:cs="宋体"/>
                <w:b/>
                <w:bCs w:val="0"/>
                <w:color w:val="auto"/>
                <w:kern w:val="2"/>
                <w:sz w:val="21"/>
                <w:szCs w:val="21"/>
                <w:highlight w:val="none"/>
                <w:lang w:val="en-US" w:eastAsia="zh-CN" w:bidi="ar"/>
              </w:rPr>
              <w:t>一旦中标，在接到采购单位或最终用户的报修电话，应在0.5个工作小时内电话响应，4个工作小时内到达，到达后8个工作小时内修复；若在8个工作小时内无法修复的，中标供应商应先提供备用机供最终用户使用，直至设备修复；如中标供应商所提供的备用机与故障机的型号不同，则需免费提供耗材。如果中标供应商未在承诺的时间内将设备修复或者提供备用机的则中标供应商应按200.00元/台/天向采购单位支付逾期违约金。(注：上门服务时间主要根据最终用户需求而定，假如最终用户需要第二天上门处理的，应根据最终用户要求的时间上门；如果最终用户需要晚上19：30后上门，中标供应商也应根据最终用户的要求上门服务。如无特殊情况，须按照上述标准来服务。)</w:t>
            </w:r>
          </w:p>
        </w:tc>
      </w:tr>
      <w:tr w14:paraId="2F1F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5801B688">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52</w:t>
            </w:r>
          </w:p>
        </w:tc>
        <w:tc>
          <w:tcPr>
            <w:tcW w:w="396" w:type="pct"/>
            <w:noWrap w:val="0"/>
            <w:vAlign w:val="center"/>
          </w:tcPr>
          <w:p w14:paraId="305C108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7046347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4176DF00">
            <w:pPr>
              <w:keepNext w:val="0"/>
              <w:keepLines w:val="0"/>
              <w:widowControl w:val="0"/>
              <w:suppressLineNumbers w:val="0"/>
              <w:spacing w:before="0" w:beforeAutospacing="0" w:after="0" w:afterAutospacing="0" w:line="360" w:lineRule="auto"/>
              <w:ind w:left="0" w:right="0" w:firstLine="422" w:firstLineChars="200"/>
              <w:jc w:val="both"/>
              <w:rPr>
                <w:rFonts w:hint="eastAsia" w:ascii="宋体" w:hAnsi="宋体" w:eastAsia="宋体" w:cs="Times New Roman"/>
                <w:b/>
                <w:bCs w:val="0"/>
                <w:color w:val="auto"/>
                <w:kern w:val="2"/>
                <w:sz w:val="21"/>
                <w:szCs w:val="21"/>
                <w:highlight w:val="none"/>
              </w:rPr>
            </w:pPr>
            <w:r>
              <w:rPr>
                <w:rFonts w:hint="eastAsia" w:ascii="宋体" w:hAnsi="宋体" w:eastAsia="宋体" w:cs="宋体"/>
                <w:b/>
                <w:bCs w:val="0"/>
                <w:color w:val="auto"/>
                <w:kern w:val="2"/>
                <w:sz w:val="21"/>
                <w:szCs w:val="21"/>
                <w:highlight w:val="none"/>
                <w:lang w:val="en-US" w:eastAsia="zh-CN" w:bidi="ar"/>
              </w:rPr>
              <w:t>*4、</w:t>
            </w:r>
            <w:r>
              <w:rPr>
                <w:rFonts w:hint="eastAsia" w:ascii="宋体" w:hAnsi="宋体" w:eastAsia="宋体" w:cs="宋体"/>
                <w:b/>
                <w:bCs/>
                <w:color w:val="auto"/>
                <w:kern w:val="2"/>
                <w:sz w:val="21"/>
                <w:szCs w:val="21"/>
                <w:highlight w:val="none"/>
                <w:lang w:val="en-US" w:eastAsia="zh-CN" w:bidi="ar"/>
              </w:rPr>
              <w:t>投标人应在投标文件中提供书面承诺：</w:t>
            </w:r>
            <w:r>
              <w:rPr>
                <w:rFonts w:hint="eastAsia" w:ascii="宋体" w:hAnsi="宋体" w:eastAsia="宋体" w:cs="宋体"/>
                <w:b/>
                <w:bCs w:val="0"/>
                <w:color w:val="auto"/>
                <w:kern w:val="2"/>
                <w:sz w:val="21"/>
                <w:szCs w:val="21"/>
                <w:highlight w:val="none"/>
                <w:lang w:val="en-US" w:eastAsia="zh-CN" w:bidi="ar"/>
              </w:rPr>
              <w:t>同意在出现如下任一情况的，采购单位有权单方面取消中标供应商的供货资格并没收中标供应商供货保证金、售后服务保证金。对中标供应商下述情况在厦门市政府采购网、厦门招投标网进行公示，并在三年内拒绝中标供应商进入大宗政府招标采购项目的投标报价。同时，改由本次招标排名第二的供应商供货。</w:t>
            </w:r>
          </w:p>
          <w:p w14:paraId="525ED7D3">
            <w:pPr>
              <w:keepNext w:val="0"/>
              <w:keepLines w:val="0"/>
              <w:widowControl w:val="0"/>
              <w:suppressLineNumbers w:val="0"/>
              <w:shd w:val="clear" w:fill="FFFFFF"/>
              <w:spacing w:before="0" w:beforeAutospacing="0" w:after="0" w:afterAutospacing="0" w:line="360" w:lineRule="auto"/>
              <w:ind w:left="0" w:right="0" w:firstLine="422" w:firstLineChars="200"/>
              <w:jc w:val="both"/>
              <w:rPr>
                <w:rFonts w:hint="eastAsia" w:ascii="宋体" w:hAnsi="宋体" w:eastAsia="宋体" w:cs="Times New Roman"/>
                <w:b/>
                <w:bCs w:val="0"/>
                <w:color w:val="auto"/>
                <w:kern w:val="2"/>
                <w:sz w:val="21"/>
                <w:szCs w:val="21"/>
                <w:highlight w:val="none"/>
                <w:shd w:val="clear" w:fill="FFFFFF"/>
              </w:rPr>
            </w:pPr>
            <w:r>
              <w:rPr>
                <w:rFonts w:hint="eastAsia" w:ascii="宋体" w:hAnsi="宋体" w:eastAsia="宋体" w:cs="宋体"/>
                <w:b/>
                <w:bCs w:val="0"/>
                <w:color w:val="auto"/>
                <w:kern w:val="2"/>
                <w:sz w:val="21"/>
                <w:szCs w:val="21"/>
                <w:highlight w:val="none"/>
                <w:shd w:val="clear" w:fill="FFFFFF"/>
                <w:lang w:val="en-US" w:eastAsia="zh-CN" w:bidi="ar"/>
              </w:rPr>
              <w:t>①违反法律法规、行业规范要求被有关部门查处的；</w:t>
            </w:r>
          </w:p>
          <w:p w14:paraId="5266E881">
            <w:pPr>
              <w:keepNext w:val="0"/>
              <w:keepLines w:val="0"/>
              <w:widowControl w:val="0"/>
              <w:suppressLineNumbers w:val="0"/>
              <w:shd w:val="clear" w:fill="FFFFFF"/>
              <w:spacing w:before="0" w:beforeAutospacing="0" w:after="0" w:afterAutospacing="0" w:line="360" w:lineRule="auto"/>
              <w:ind w:left="0" w:right="0" w:firstLine="422" w:firstLineChars="200"/>
              <w:jc w:val="both"/>
              <w:rPr>
                <w:rFonts w:hint="eastAsia" w:ascii="宋体" w:hAnsi="宋体" w:eastAsia="宋体" w:cs="Times New Roman"/>
                <w:b/>
                <w:bCs w:val="0"/>
                <w:color w:val="auto"/>
                <w:kern w:val="2"/>
                <w:sz w:val="21"/>
                <w:szCs w:val="21"/>
                <w:highlight w:val="none"/>
                <w:shd w:val="clear" w:fill="FFFFFF"/>
              </w:rPr>
            </w:pPr>
            <w:r>
              <w:rPr>
                <w:rFonts w:hint="eastAsia" w:ascii="宋体" w:hAnsi="宋体" w:eastAsia="宋体" w:cs="宋体"/>
                <w:b/>
                <w:bCs w:val="0"/>
                <w:color w:val="auto"/>
                <w:kern w:val="2"/>
                <w:sz w:val="21"/>
                <w:szCs w:val="21"/>
                <w:highlight w:val="none"/>
                <w:shd w:val="clear" w:fill="FFFFFF"/>
                <w:lang w:val="en-US" w:eastAsia="zh-CN" w:bidi="ar"/>
              </w:rPr>
              <w:t>②提供假冒伪劣产品的；</w:t>
            </w:r>
          </w:p>
          <w:p w14:paraId="309FA715">
            <w:pPr>
              <w:keepNext w:val="0"/>
              <w:keepLines w:val="0"/>
              <w:widowControl w:val="0"/>
              <w:suppressLineNumbers w:val="0"/>
              <w:shd w:val="clear" w:fill="FFFFFF"/>
              <w:spacing w:before="0" w:beforeAutospacing="0" w:after="0" w:afterAutospacing="0" w:line="360" w:lineRule="auto"/>
              <w:ind w:left="0" w:right="0" w:firstLine="422" w:firstLineChars="200"/>
              <w:jc w:val="both"/>
              <w:rPr>
                <w:rFonts w:hint="eastAsia" w:ascii="宋体" w:hAnsi="宋体" w:eastAsia="宋体" w:cs="Times New Roman"/>
                <w:b/>
                <w:bCs w:val="0"/>
                <w:color w:val="auto"/>
                <w:kern w:val="2"/>
                <w:sz w:val="21"/>
                <w:szCs w:val="21"/>
                <w:highlight w:val="none"/>
                <w:shd w:val="clear" w:fill="FFFFFF"/>
              </w:rPr>
            </w:pPr>
            <w:r>
              <w:rPr>
                <w:rFonts w:hint="eastAsia" w:ascii="宋体" w:hAnsi="宋体" w:eastAsia="宋体" w:cs="宋体"/>
                <w:b/>
                <w:bCs w:val="0"/>
                <w:color w:val="auto"/>
                <w:kern w:val="2"/>
                <w:sz w:val="21"/>
                <w:szCs w:val="21"/>
                <w:highlight w:val="none"/>
                <w:shd w:val="clear" w:fill="FFFFFF"/>
                <w:lang w:val="en-US" w:eastAsia="zh-CN" w:bidi="ar"/>
              </w:rPr>
              <w:t>③通过给回扣或变相给回扣的方式招揽业务的；</w:t>
            </w:r>
          </w:p>
          <w:p w14:paraId="30C6F4C8">
            <w:pPr>
              <w:keepNext w:val="0"/>
              <w:keepLines w:val="0"/>
              <w:widowControl w:val="0"/>
              <w:suppressLineNumbers w:val="0"/>
              <w:shd w:val="clear" w:fill="FFFFFF"/>
              <w:spacing w:before="0" w:beforeAutospacing="0" w:after="0" w:afterAutospacing="0" w:line="360" w:lineRule="auto"/>
              <w:ind w:left="0" w:right="0" w:firstLine="422" w:firstLineChars="200"/>
              <w:jc w:val="both"/>
              <w:rPr>
                <w:rFonts w:hint="eastAsia" w:ascii="宋体" w:hAnsi="宋体" w:eastAsia="宋体" w:cs="Times New Roman"/>
                <w:b/>
                <w:bCs w:val="0"/>
                <w:color w:val="auto"/>
                <w:kern w:val="2"/>
                <w:sz w:val="21"/>
                <w:szCs w:val="21"/>
                <w:highlight w:val="none"/>
                <w:shd w:val="clear" w:fill="FFFFFF"/>
              </w:rPr>
            </w:pPr>
            <w:r>
              <w:rPr>
                <w:rFonts w:hint="eastAsia" w:ascii="宋体" w:hAnsi="宋体" w:eastAsia="宋体" w:cs="宋体"/>
                <w:b/>
                <w:bCs w:val="0"/>
                <w:color w:val="auto"/>
                <w:kern w:val="2"/>
                <w:sz w:val="21"/>
                <w:szCs w:val="21"/>
                <w:highlight w:val="none"/>
                <w:shd w:val="clear" w:fill="FFFFFF"/>
                <w:lang w:val="en-US" w:eastAsia="zh-CN" w:bidi="ar"/>
              </w:rPr>
              <w:t>④因产品质量或服务问题被有效投诉达三次以上的；</w:t>
            </w:r>
          </w:p>
          <w:p w14:paraId="3E2F2410">
            <w:pPr>
              <w:keepNext w:val="0"/>
              <w:keepLines w:val="0"/>
              <w:widowControl w:val="0"/>
              <w:suppressLineNumbers w:val="0"/>
              <w:shd w:val="clear" w:fill="FFFFFF"/>
              <w:spacing w:before="0" w:beforeAutospacing="0" w:after="0" w:afterAutospacing="0" w:line="360" w:lineRule="auto"/>
              <w:ind w:left="0" w:right="0" w:firstLine="422" w:firstLineChars="200"/>
              <w:jc w:val="both"/>
              <w:rPr>
                <w:rFonts w:hint="eastAsia" w:ascii="宋体" w:hAnsi="宋体" w:eastAsia="宋体" w:cs="Times New Roman"/>
                <w:b/>
                <w:bCs w:val="0"/>
                <w:color w:val="auto"/>
                <w:kern w:val="2"/>
                <w:sz w:val="21"/>
                <w:szCs w:val="21"/>
                <w:highlight w:val="none"/>
                <w:shd w:val="clear" w:fill="FFFFFF"/>
              </w:rPr>
            </w:pPr>
            <w:r>
              <w:rPr>
                <w:rFonts w:hint="eastAsia" w:ascii="宋体" w:hAnsi="宋体" w:eastAsia="宋体" w:cs="宋体"/>
                <w:b/>
                <w:bCs w:val="0"/>
                <w:color w:val="auto"/>
                <w:kern w:val="2"/>
                <w:sz w:val="21"/>
                <w:szCs w:val="21"/>
                <w:highlight w:val="none"/>
                <w:shd w:val="clear" w:fill="FFFFFF"/>
                <w:lang w:val="en-US" w:eastAsia="zh-CN" w:bidi="ar"/>
              </w:rPr>
              <w:t>⑤向有关部门、买方、最终使用方提供虚假信息或资料等情况的；</w:t>
            </w:r>
          </w:p>
          <w:p w14:paraId="1C9B1E99">
            <w:pPr>
              <w:keepNext w:val="0"/>
              <w:keepLines w:val="0"/>
              <w:widowControl w:val="0"/>
              <w:suppressLineNumbers w:val="0"/>
              <w:shd w:val="clear" w:fill="FFFFFF"/>
              <w:spacing w:before="0" w:beforeAutospacing="0" w:after="0" w:afterAutospacing="0" w:line="360" w:lineRule="auto"/>
              <w:ind w:left="0" w:right="0" w:firstLine="422" w:firstLineChars="200"/>
              <w:jc w:val="both"/>
              <w:rPr>
                <w:rFonts w:hint="eastAsia" w:ascii="宋体" w:hAnsi="宋体" w:eastAsia="宋体" w:cs="Times New Roman"/>
                <w:b/>
                <w:bCs w:val="0"/>
                <w:color w:val="auto"/>
                <w:kern w:val="2"/>
                <w:sz w:val="21"/>
                <w:szCs w:val="21"/>
                <w:highlight w:val="none"/>
                <w:shd w:val="clear" w:fill="FFFFFF"/>
              </w:rPr>
            </w:pPr>
            <w:r>
              <w:rPr>
                <w:rFonts w:hint="eastAsia" w:ascii="宋体" w:hAnsi="宋体" w:eastAsia="宋体" w:cs="宋体"/>
                <w:b/>
                <w:bCs w:val="0"/>
                <w:color w:val="auto"/>
                <w:kern w:val="2"/>
                <w:sz w:val="21"/>
                <w:szCs w:val="21"/>
                <w:highlight w:val="none"/>
                <w:shd w:val="clear" w:fill="FFFFFF"/>
                <w:lang w:val="en-US" w:eastAsia="zh-CN" w:bidi="ar"/>
              </w:rPr>
              <w:t>⑥出现重大客户投诉事件（如政府采购管理部门督办事件、新闻媒体公开报道、采购业主书面发函投诉以及其他对买方产生严重负面影响的事件）；</w:t>
            </w:r>
          </w:p>
          <w:p w14:paraId="1CDAE5B9">
            <w:pPr>
              <w:keepNext w:val="0"/>
              <w:keepLines w:val="0"/>
              <w:widowControl w:val="0"/>
              <w:suppressLineNumbers w:val="0"/>
              <w:shd w:val="clear" w:fill="FFFFFF"/>
              <w:spacing w:before="0" w:beforeAutospacing="0" w:after="0" w:afterAutospacing="0" w:line="360" w:lineRule="auto"/>
              <w:ind w:left="0" w:right="0" w:firstLine="422" w:firstLineChars="200"/>
              <w:jc w:val="both"/>
              <w:rPr>
                <w:rFonts w:hint="eastAsia" w:ascii="宋体" w:hAnsi="宋体" w:eastAsia="宋体" w:cs="Times New Roman"/>
                <w:b/>
                <w:bCs w:val="0"/>
                <w:color w:val="auto"/>
                <w:kern w:val="2"/>
                <w:sz w:val="21"/>
                <w:szCs w:val="21"/>
                <w:highlight w:val="none"/>
                <w:shd w:val="clear" w:fill="FFFFFF"/>
              </w:rPr>
            </w:pPr>
            <w:r>
              <w:rPr>
                <w:rFonts w:hint="eastAsia" w:ascii="宋体" w:hAnsi="宋体" w:eastAsia="宋体" w:cs="宋体"/>
                <w:b/>
                <w:bCs w:val="0"/>
                <w:color w:val="auto"/>
                <w:kern w:val="2"/>
                <w:sz w:val="21"/>
                <w:szCs w:val="21"/>
                <w:highlight w:val="none"/>
                <w:shd w:val="clear" w:fill="FFFFFF"/>
                <w:lang w:val="en-US" w:eastAsia="zh-CN" w:bidi="ar"/>
              </w:rPr>
              <w:t>⑦报修率超过3%（按品类分别统计，例如：针式打印机等）。报修率=保修期内硬件故障报修有效台次/已销售台数*100%（已销售台数超过100台之后开始计算报修率）。</w:t>
            </w:r>
          </w:p>
          <w:p w14:paraId="2F212C5E">
            <w:pPr>
              <w:keepNext w:val="0"/>
              <w:keepLines w:val="0"/>
              <w:widowControl w:val="0"/>
              <w:suppressLineNumbers w:val="0"/>
              <w:shd w:val="clear" w:fill="FFFFFF"/>
              <w:spacing w:before="0" w:beforeAutospacing="0" w:after="0" w:afterAutospacing="0" w:line="360" w:lineRule="auto"/>
              <w:ind w:left="0" w:right="0" w:firstLine="422" w:firstLineChars="200"/>
              <w:jc w:val="both"/>
              <w:rPr>
                <w:rFonts w:hint="eastAsia" w:ascii="宋体" w:hAnsi="宋体" w:eastAsia="宋体" w:cs="Times New Roman"/>
                <w:b/>
                <w:bCs w:val="0"/>
                <w:color w:val="auto"/>
                <w:kern w:val="2"/>
                <w:sz w:val="21"/>
                <w:szCs w:val="21"/>
                <w:highlight w:val="none"/>
                <w:shd w:val="clear" w:fill="FFFFFF"/>
              </w:rPr>
            </w:pPr>
            <w:r>
              <w:rPr>
                <w:rFonts w:hint="eastAsia" w:ascii="宋体" w:hAnsi="宋体" w:eastAsia="宋体" w:cs="宋体"/>
                <w:b/>
                <w:bCs w:val="0"/>
                <w:color w:val="auto"/>
                <w:kern w:val="2"/>
                <w:sz w:val="21"/>
                <w:szCs w:val="21"/>
                <w:highlight w:val="none"/>
                <w:shd w:val="clear" w:fill="FFFFFF"/>
                <w:lang w:val="en-US" w:eastAsia="zh-CN" w:bidi="ar"/>
              </w:rPr>
              <w:t>⑧逾期供货时间超过30天。（从订单发出之日开始计算，超过合同规定供货周期的天数）。</w:t>
            </w:r>
          </w:p>
          <w:p w14:paraId="4D046932">
            <w:pPr>
              <w:keepNext w:val="0"/>
              <w:keepLines w:val="0"/>
              <w:widowControl w:val="0"/>
              <w:suppressLineNumbers w:val="0"/>
              <w:spacing w:before="0" w:beforeAutospacing="0" w:after="0" w:afterAutospacing="0"/>
              <w:ind w:left="0" w:right="0"/>
              <w:jc w:val="both"/>
              <w:rPr>
                <w:rFonts w:hint="default"/>
                <w:color w:val="auto"/>
                <w:highlight w:val="none"/>
              </w:rPr>
            </w:pPr>
            <w:r>
              <w:rPr>
                <w:rFonts w:hint="eastAsia" w:ascii="宋体" w:hAnsi="宋体" w:eastAsia="宋体" w:cs="宋体"/>
                <w:b/>
                <w:bCs w:val="0"/>
                <w:color w:val="auto"/>
                <w:kern w:val="2"/>
                <w:sz w:val="21"/>
                <w:szCs w:val="21"/>
                <w:highlight w:val="none"/>
                <w:lang w:val="en-US" w:eastAsia="zh-CN" w:bidi="ar"/>
              </w:rPr>
              <w:t>⑨产品入库检测、检验时发现大面积产品质量问题。</w:t>
            </w:r>
          </w:p>
          <w:p w14:paraId="33FE87A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r>
      <w:tr w14:paraId="42D52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2683ECB1">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53</w:t>
            </w:r>
          </w:p>
        </w:tc>
        <w:tc>
          <w:tcPr>
            <w:tcW w:w="396" w:type="pct"/>
            <w:noWrap w:val="0"/>
            <w:vAlign w:val="center"/>
          </w:tcPr>
          <w:p w14:paraId="266B631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0AC34FC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7CECBF00">
            <w:pPr>
              <w:keepNext w:val="0"/>
              <w:keepLines w:val="0"/>
              <w:suppressLineNumbers w:val="0"/>
              <w:spacing w:before="0" w:beforeAutospacing="0" w:after="0" w:afterAutospacing="0" w:line="360" w:lineRule="auto"/>
              <w:ind w:left="0" w:right="0" w:firstLine="422" w:firstLineChars="20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1"/>
                <w:szCs w:val="21"/>
                <w:highlight w:val="none"/>
                <w:lang w:val="en-US" w:eastAsia="zh-CN" w:bidi="ar"/>
              </w:rPr>
              <w:t>*1、投标人须以人民币报价，报价总价为所投设备经最终验收合格并交付使用所有可能发生的费用，包括设备费、运送至采购单位指定地点的运输费、运输费保险费、专用工具费、税费、采购保管费、安装费、检验验收、安装调试费以及售后服务等一切费用（投标人可在分项报价表中详细列出报价，如果所列分项报价不含以上内容，则视为已含在投标总价中），报价方式为总包价。</w:t>
            </w:r>
          </w:p>
        </w:tc>
      </w:tr>
      <w:tr w14:paraId="3E6D1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7EDC18CC">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54</w:t>
            </w:r>
          </w:p>
        </w:tc>
        <w:tc>
          <w:tcPr>
            <w:tcW w:w="396" w:type="pct"/>
            <w:noWrap w:val="0"/>
            <w:vAlign w:val="center"/>
          </w:tcPr>
          <w:p w14:paraId="229460B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0F3032E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2688716D">
            <w:pPr>
              <w:keepNext w:val="0"/>
              <w:keepLines w:val="0"/>
              <w:suppressLineNumbers w:val="0"/>
              <w:spacing w:before="0" w:beforeAutospacing="0" w:after="0" w:afterAutospacing="0" w:line="360" w:lineRule="auto"/>
              <w:ind w:left="0" w:right="0" w:firstLine="422" w:firstLineChars="20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1"/>
                <w:szCs w:val="21"/>
                <w:highlight w:val="none"/>
                <w:lang w:val="en-US" w:eastAsia="zh-CN" w:bidi="ar"/>
              </w:rPr>
              <w:t>*2、投标人必须列出招标货物一览表中各品目号设备的单价及总价。</w:t>
            </w:r>
          </w:p>
        </w:tc>
      </w:tr>
      <w:tr w14:paraId="66915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3E005485">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55</w:t>
            </w:r>
          </w:p>
        </w:tc>
        <w:tc>
          <w:tcPr>
            <w:tcW w:w="396" w:type="pct"/>
            <w:noWrap w:val="0"/>
            <w:vAlign w:val="center"/>
          </w:tcPr>
          <w:p w14:paraId="39DC96F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114AEA2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023229F0">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1"/>
                <w:szCs w:val="21"/>
                <w:highlight w:val="none"/>
                <w:lang w:val="en-US" w:eastAsia="zh-CN" w:bidi="ar"/>
              </w:rPr>
              <w:t>*3、本项目采购预</w:t>
            </w:r>
            <w:r>
              <w:rPr>
                <w:rFonts w:hint="default" w:ascii="宋体" w:hAnsi="宋体" w:cs="宋体"/>
                <w:b/>
                <w:bCs w:val="0"/>
                <w:color w:val="auto"/>
                <w:kern w:val="2"/>
                <w:sz w:val="21"/>
                <w:szCs w:val="21"/>
                <w:highlight w:val="none"/>
                <w:lang w:eastAsia="zh-CN" w:bidi="ar"/>
              </w:rPr>
              <w:t>算</w:t>
            </w:r>
            <w:r>
              <w:rPr>
                <w:rFonts w:hint="eastAsia" w:ascii="宋体" w:hAnsi="宋体" w:eastAsia="宋体" w:cs="宋体"/>
                <w:b/>
                <w:bCs w:val="0"/>
                <w:color w:val="auto"/>
                <w:kern w:val="2"/>
                <w:sz w:val="21"/>
                <w:szCs w:val="21"/>
                <w:highlight w:val="none"/>
                <w:lang w:val="en-US" w:eastAsia="zh-CN" w:bidi="ar"/>
              </w:rPr>
              <w:t>为人民币126万元整，报价总价不得超过该预算，且品目号1-1单台设备报价不得超过</w:t>
            </w:r>
            <w:r>
              <w:rPr>
                <w:rFonts w:hint="eastAsia" w:ascii="宋体" w:hAnsi="宋体" w:eastAsia="宋体" w:cs="宋体"/>
                <w:b/>
                <w:bCs w:val="0"/>
                <w:color w:val="auto"/>
                <w:kern w:val="2"/>
                <w:sz w:val="21"/>
                <w:szCs w:val="21"/>
                <w:highlight w:val="none"/>
                <w:u w:val="single"/>
                <w:lang w:val="en-US" w:eastAsia="zh-CN" w:bidi="ar"/>
              </w:rPr>
              <w:t>1200</w:t>
            </w:r>
            <w:r>
              <w:rPr>
                <w:rFonts w:hint="eastAsia" w:ascii="宋体" w:hAnsi="宋体" w:eastAsia="宋体" w:cs="宋体"/>
                <w:b/>
                <w:bCs w:val="0"/>
                <w:color w:val="auto"/>
                <w:kern w:val="2"/>
                <w:sz w:val="21"/>
                <w:szCs w:val="21"/>
                <w:highlight w:val="none"/>
                <w:lang w:val="en-US" w:eastAsia="zh-CN" w:bidi="ar"/>
              </w:rPr>
              <w:t>元/台；且品目号1-2单台设备报价不得超过</w:t>
            </w:r>
            <w:r>
              <w:rPr>
                <w:rFonts w:hint="eastAsia" w:ascii="宋体" w:hAnsi="宋体" w:eastAsia="宋体" w:cs="宋体"/>
                <w:b/>
                <w:bCs w:val="0"/>
                <w:color w:val="auto"/>
                <w:kern w:val="2"/>
                <w:sz w:val="21"/>
                <w:szCs w:val="21"/>
                <w:highlight w:val="none"/>
                <w:u w:val="single"/>
                <w:lang w:val="en-US" w:eastAsia="zh-CN" w:bidi="ar"/>
              </w:rPr>
              <w:t>1700</w:t>
            </w:r>
            <w:r>
              <w:rPr>
                <w:rFonts w:hint="eastAsia" w:ascii="宋体" w:hAnsi="宋体" w:eastAsia="宋体" w:cs="宋体"/>
                <w:b/>
                <w:bCs w:val="0"/>
                <w:color w:val="auto"/>
                <w:kern w:val="2"/>
                <w:sz w:val="21"/>
                <w:szCs w:val="21"/>
                <w:highlight w:val="none"/>
                <w:lang w:val="en-US" w:eastAsia="zh-CN" w:bidi="ar"/>
              </w:rPr>
              <w:t>元/台；且品目号1-3单台设备报价不得超过</w:t>
            </w:r>
            <w:r>
              <w:rPr>
                <w:rFonts w:hint="eastAsia" w:ascii="宋体" w:hAnsi="宋体" w:eastAsia="宋体" w:cs="宋体"/>
                <w:b/>
                <w:bCs w:val="0"/>
                <w:color w:val="auto"/>
                <w:kern w:val="2"/>
                <w:sz w:val="21"/>
                <w:szCs w:val="21"/>
                <w:highlight w:val="none"/>
                <w:u w:val="single"/>
                <w:lang w:val="en-US" w:eastAsia="zh-CN" w:bidi="ar"/>
              </w:rPr>
              <w:t>1900</w:t>
            </w:r>
            <w:r>
              <w:rPr>
                <w:rFonts w:hint="eastAsia" w:ascii="宋体" w:hAnsi="宋体" w:eastAsia="宋体" w:cs="宋体"/>
                <w:b/>
                <w:bCs w:val="0"/>
                <w:color w:val="auto"/>
                <w:kern w:val="2"/>
                <w:sz w:val="21"/>
                <w:szCs w:val="21"/>
                <w:highlight w:val="none"/>
                <w:lang w:val="en-US" w:eastAsia="zh-CN" w:bidi="ar"/>
              </w:rPr>
              <w:t>元/台；且品目号1-4单台设备报价不得超过</w:t>
            </w:r>
            <w:r>
              <w:rPr>
                <w:rFonts w:hint="eastAsia" w:ascii="宋体" w:hAnsi="宋体" w:eastAsia="宋体" w:cs="宋体"/>
                <w:b/>
                <w:bCs w:val="0"/>
                <w:color w:val="auto"/>
                <w:kern w:val="2"/>
                <w:sz w:val="21"/>
                <w:szCs w:val="21"/>
                <w:highlight w:val="none"/>
                <w:u w:val="single"/>
                <w:lang w:val="en-US" w:eastAsia="zh-CN" w:bidi="ar"/>
              </w:rPr>
              <w:t>2500</w:t>
            </w:r>
            <w:r>
              <w:rPr>
                <w:rFonts w:hint="eastAsia" w:ascii="宋体" w:hAnsi="宋体" w:eastAsia="宋体" w:cs="宋体"/>
                <w:b/>
                <w:bCs w:val="0"/>
                <w:color w:val="auto"/>
                <w:kern w:val="2"/>
                <w:sz w:val="21"/>
                <w:szCs w:val="21"/>
                <w:highlight w:val="none"/>
                <w:lang w:val="en-US" w:eastAsia="zh-CN" w:bidi="ar"/>
              </w:rPr>
              <w:t>元/台。</w:t>
            </w:r>
          </w:p>
        </w:tc>
      </w:tr>
      <w:tr w14:paraId="1CA00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4918B769">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56</w:t>
            </w:r>
          </w:p>
        </w:tc>
        <w:tc>
          <w:tcPr>
            <w:tcW w:w="396" w:type="pct"/>
            <w:noWrap w:val="0"/>
            <w:vAlign w:val="center"/>
          </w:tcPr>
          <w:p w14:paraId="187FF82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7BC2306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79F2B590">
            <w:pPr>
              <w:keepNext w:val="0"/>
              <w:keepLines w:val="0"/>
              <w:suppressLineNumbers w:val="0"/>
              <w:adjustRightInd w:val="0"/>
              <w:snapToGrid w:val="0"/>
              <w:spacing w:before="0" w:beforeAutospacing="0" w:after="0" w:afterAutospacing="0" w:line="360" w:lineRule="auto"/>
              <w:ind w:left="0" w:right="0" w:firstLine="422" w:firstLineChars="200"/>
              <w:jc w:val="left"/>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1"/>
                <w:szCs w:val="21"/>
                <w:highlight w:val="none"/>
                <w:lang w:val="en-US" w:eastAsia="zh-CN" w:bidi="ar"/>
              </w:rPr>
              <w:t>*4、除《定货单》另有要求外，投标人负责将货物配送至采购单位仓库集中仓储（福建省内的指定城市），并根据采购单位指令从仓库提货后进行二次配送至最终用户；投标人除承担运送至采购单位仓库的仓储操作费用，还应同时承担从采购单位仓库运送至最终用户的二次配送费用（仅包括采购单位仓库所在地行政区域的二次配送费）。投标人在接到采购单位《定货单》之日起15个日历日之内货交采购单位仓库；并于接到采购单位通知后，厦门市行政区域内24小时、厦门市行政区域外48小时从采购单位仓库运送至最终用户。投标人从采购单位仓库中提货后，货物毁损、灭失的风险转移至投标人。若投标人未按上述约定的时间完成二次配送的，采购单位有权直接委托第三方物流代为配送，仓储操作费和二次配送费由投标人直接向第三方物流支付，且货物毁损、灭失的风险转移至投标人。送采购单位仓库后再送至最终用户的，投标人除承担运送至买方仓库的费用，还应同时承担从采购单位仓库运送至最终用户的仓储操作费和二次配送费（按仓储操作费10元/台；二次配送费15元/台）。若投标人未向第三方物流支付仓储操作费和二次配送费的，采购单位将代为支付，并从未付投标人款项中扣除。</w:t>
            </w:r>
          </w:p>
        </w:tc>
      </w:tr>
      <w:tr w14:paraId="6A93F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23661F41">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57</w:t>
            </w:r>
          </w:p>
        </w:tc>
        <w:tc>
          <w:tcPr>
            <w:tcW w:w="396" w:type="pct"/>
            <w:noWrap w:val="0"/>
            <w:vAlign w:val="center"/>
          </w:tcPr>
          <w:p w14:paraId="5E4444C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06147A9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77181C94">
            <w:pPr>
              <w:keepNext w:val="0"/>
              <w:keepLines w:val="0"/>
              <w:suppressLineNumbers w:val="0"/>
              <w:adjustRightInd w:val="0"/>
              <w:snapToGrid w:val="0"/>
              <w:spacing w:before="0" w:beforeAutospacing="0" w:after="0" w:afterAutospacing="0" w:line="360" w:lineRule="auto"/>
              <w:ind w:left="0" w:right="0" w:firstLine="413" w:firstLineChars="196"/>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1"/>
                <w:szCs w:val="21"/>
                <w:highlight w:val="none"/>
                <w:lang w:val="en-US" w:eastAsia="zh-CN" w:bidi="ar"/>
              </w:rPr>
              <w:t>*5、合同签订之日起每三个月，采购单位可根据市场行情变化，与中标供应商就产品单价进行重新谈判。</w:t>
            </w:r>
          </w:p>
        </w:tc>
      </w:tr>
      <w:tr w14:paraId="2E0B4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377A3438">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58</w:t>
            </w:r>
          </w:p>
        </w:tc>
        <w:tc>
          <w:tcPr>
            <w:tcW w:w="396" w:type="pct"/>
            <w:noWrap w:val="0"/>
            <w:vAlign w:val="center"/>
          </w:tcPr>
          <w:p w14:paraId="02A776B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619A683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16A74DDA">
            <w:pPr>
              <w:keepNext w:val="0"/>
              <w:keepLines w:val="0"/>
              <w:suppressLineNumbers w:val="0"/>
              <w:adjustRightInd w:val="0"/>
              <w:snapToGrid w:val="0"/>
              <w:spacing w:before="0" w:beforeAutospacing="0" w:after="0" w:afterAutospacing="0" w:line="360" w:lineRule="auto"/>
              <w:ind w:left="0" w:right="0" w:firstLine="413" w:firstLineChars="196"/>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1"/>
                <w:szCs w:val="21"/>
                <w:highlight w:val="none"/>
                <w:lang w:val="en-US" w:eastAsia="zh-CN" w:bidi="ar"/>
              </w:rPr>
              <w:t>*6、投标人承诺同意在供货期间，遇合同型号价格下调，中标供应商应在2个工作日内将新的价格以书面形式告知采购单位，经采购单位确认后按最新价格进行供货并结算。一旦采购单位发现合同单价高于其它同类销售渠道或主流网站（京东、苏宁易购、易迅、1号店、天猫）等的常规销售价格，买方有权要求卖方按照主流网站的最低价格再下浮1.5%作为合同货物的价格，如中标供应商拒绝调整或双方就价格调整无法协商一致的，中标供应商应按逾期天数，每日承担相当于供货及售后服务保证金金额0.5%的违约金，同时采购单位有权终止本合同，不视为采购单位违约。</w:t>
            </w:r>
          </w:p>
        </w:tc>
      </w:tr>
      <w:tr w14:paraId="36BD5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7D7F4338">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59</w:t>
            </w:r>
          </w:p>
        </w:tc>
        <w:tc>
          <w:tcPr>
            <w:tcW w:w="396" w:type="pct"/>
            <w:noWrap w:val="0"/>
            <w:vAlign w:val="center"/>
          </w:tcPr>
          <w:p w14:paraId="4B55F3D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5DC3AB9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2AD0827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1"/>
                <w:szCs w:val="21"/>
                <w:highlight w:val="none"/>
                <w:lang w:val="en-US" w:eastAsia="zh-CN" w:bidi="ar"/>
              </w:rPr>
              <w:t>*7、中标供应商应在合同签订之日起7个日历日内向采购单位缴交1万元的供货保证金。供货保证金待本合同结束后1个月后的15个工作日内返还（扣除相应的违约金、赔偿金）。</w:t>
            </w:r>
          </w:p>
        </w:tc>
      </w:tr>
      <w:tr w14:paraId="0179D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585AB197">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60</w:t>
            </w:r>
          </w:p>
        </w:tc>
        <w:tc>
          <w:tcPr>
            <w:tcW w:w="396" w:type="pct"/>
            <w:noWrap w:val="0"/>
            <w:vAlign w:val="center"/>
          </w:tcPr>
          <w:p w14:paraId="4F5FE3E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3A314D2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58E07A83">
            <w:pPr>
              <w:keepNext w:val="0"/>
              <w:keepLines w:val="0"/>
              <w:widowControl w:val="0"/>
              <w:suppressLineNumbers w:val="0"/>
              <w:adjustRightInd w:val="0"/>
              <w:snapToGrid w:val="0"/>
              <w:spacing w:before="0" w:beforeAutospacing="0" w:after="0" w:afterAutospacing="0" w:line="360" w:lineRule="auto"/>
              <w:ind w:left="0" w:right="0" w:firstLine="413" w:firstLineChars="196"/>
              <w:jc w:val="both"/>
              <w:rPr>
                <w:rFonts w:hint="eastAsia" w:ascii="宋体" w:hAnsi="宋体" w:eastAsia="宋体" w:cs="Times New Roman"/>
                <w:b/>
                <w:bCs w:val="0"/>
                <w:color w:val="auto"/>
                <w:kern w:val="2"/>
                <w:sz w:val="21"/>
                <w:szCs w:val="21"/>
                <w:highlight w:val="none"/>
              </w:rPr>
            </w:pPr>
            <w:r>
              <w:rPr>
                <w:rFonts w:hint="eastAsia" w:ascii="宋体" w:hAnsi="宋体" w:eastAsia="宋体" w:cs="宋体"/>
                <w:b/>
                <w:bCs w:val="0"/>
                <w:color w:val="auto"/>
                <w:kern w:val="2"/>
                <w:sz w:val="21"/>
                <w:szCs w:val="21"/>
                <w:highlight w:val="none"/>
                <w:lang w:val="en-US" w:eastAsia="zh-CN" w:bidi="ar"/>
              </w:rPr>
              <w:t>*8、中标供应商应在合同签订之日起7个日历日内向采购单位缴交1.5万元的售后服务保证金。售后服务保证金待最后一批次货物保修期届满后的15个工作日内返还（扣除相应的违约金、赔偿金）。</w:t>
            </w:r>
          </w:p>
          <w:p w14:paraId="5AD970F7">
            <w:pPr>
              <w:keepNext w:val="0"/>
              <w:keepLines w:val="0"/>
              <w:suppressLineNumbers w:val="0"/>
              <w:spacing w:before="0" w:beforeAutospacing="0" w:after="0" w:afterAutospacing="0" w:line="360" w:lineRule="auto"/>
              <w:ind w:left="0" w:right="0" w:firstLine="413" w:firstLineChars="196"/>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1"/>
                <w:szCs w:val="21"/>
                <w:highlight w:val="none"/>
                <w:lang w:val="en-US" w:eastAsia="zh-CN" w:bidi="ar"/>
              </w:rPr>
              <w:t>*1、</w:t>
            </w:r>
            <w:r>
              <w:rPr>
                <w:rFonts w:hint="eastAsia" w:ascii="宋体" w:hAnsi="宋体" w:eastAsia="宋体" w:cs="宋体"/>
                <w:b/>
                <w:bCs/>
                <w:color w:val="auto"/>
                <w:kern w:val="2"/>
                <w:sz w:val="21"/>
                <w:szCs w:val="21"/>
                <w:highlight w:val="none"/>
                <w:lang w:val="en-US" w:eastAsia="zh-CN" w:bidi="ar"/>
              </w:rPr>
              <w:t>投标人应在投标文件中提供书面承诺</w:t>
            </w:r>
            <w:r>
              <w:rPr>
                <w:rFonts w:hint="eastAsia" w:ascii="宋体" w:hAnsi="宋体" w:eastAsia="宋体" w:cs="宋体"/>
                <w:b/>
                <w:bCs w:val="0"/>
                <w:color w:val="auto"/>
                <w:kern w:val="2"/>
                <w:sz w:val="21"/>
                <w:szCs w:val="21"/>
                <w:highlight w:val="none"/>
                <w:lang w:val="en-US" w:eastAsia="zh-CN" w:bidi="ar"/>
              </w:rPr>
              <w:t>：投标人承诺接受《采购合同》中《服务考核细则》对其的考核并同意按考核情况处理。</w:t>
            </w:r>
          </w:p>
        </w:tc>
      </w:tr>
      <w:tr w14:paraId="16819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0E64BB6C">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61</w:t>
            </w:r>
          </w:p>
        </w:tc>
        <w:tc>
          <w:tcPr>
            <w:tcW w:w="396" w:type="pct"/>
            <w:noWrap w:val="0"/>
            <w:vAlign w:val="center"/>
          </w:tcPr>
          <w:p w14:paraId="46B1B78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1679F38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224C2375">
            <w:pPr>
              <w:keepNext w:val="0"/>
              <w:keepLines w:val="0"/>
              <w:suppressLineNumbers w:val="0"/>
              <w:spacing w:before="0" w:beforeAutospacing="0" w:after="0" w:afterAutospacing="0" w:line="360" w:lineRule="auto"/>
              <w:ind w:left="0" w:right="0" w:firstLine="422" w:firstLineChars="20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1"/>
                <w:szCs w:val="21"/>
                <w:highlight w:val="none"/>
                <w:lang w:val="en-US" w:eastAsia="zh-CN" w:bidi="ar"/>
              </w:rPr>
              <w:t>*2、采购单位付款时，</w:t>
            </w:r>
            <w:r>
              <w:rPr>
                <w:rFonts w:hint="eastAsia" w:ascii="宋体" w:hAnsi="宋体" w:eastAsia="宋体" w:cs="宋体"/>
                <w:b/>
                <w:bCs w:val="0"/>
                <w:color w:val="auto"/>
                <w:kern w:val="0"/>
                <w:sz w:val="21"/>
                <w:szCs w:val="21"/>
                <w:highlight w:val="none"/>
                <w:lang w:val="en-US" w:eastAsia="zh-CN" w:bidi="ar"/>
              </w:rPr>
              <w:t>中标</w:t>
            </w:r>
            <w:r>
              <w:rPr>
                <w:rFonts w:hint="eastAsia" w:ascii="宋体" w:hAnsi="宋体" w:eastAsia="宋体" w:cs="宋体"/>
                <w:b/>
                <w:bCs w:val="0"/>
                <w:color w:val="auto"/>
                <w:kern w:val="2"/>
                <w:sz w:val="21"/>
                <w:szCs w:val="21"/>
                <w:highlight w:val="none"/>
                <w:lang w:val="en-US" w:eastAsia="zh-CN" w:bidi="ar"/>
              </w:rPr>
              <w:t>供应商应提供一般纳税人的增值税专用发票；否则，采购单位有权拒绝支付相应款项。</w:t>
            </w:r>
          </w:p>
        </w:tc>
      </w:tr>
      <w:tr w14:paraId="75EE5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6E98B74F">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62</w:t>
            </w:r>
          </w:p>
        </w:tc>
        <w:tc>
          <w:tcPr>
            <w:tcW w:w="396" w:type="pct"/>
            <w:noWrap w:val="0"/>
            <w:vAlign w:val="center"/>
          </w:tcPr>
          <w:p w14:paraId="759A036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38CFFA2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4631F06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1"/>
                <w:szCs w:val="21"/>
                <w:highlight w:val="none"/>
                <w:lang w:val="en-US" w:eastAsia="zh-CN" w:bidi="ar"/>
              </w:rPr>
              <w:t>*3、</w:t>
            </w:r>
            <w:r>
              <w:rPr>
                <w:rFonts w:hint="eastAsia" w:ascii="宋体" w:hAnsi="宋体" w:eastAsia="宋体" w:cs="宋体"/>
                <w:b/>
                <w:bCs/>
                <w:color w:val="auto"/>
                <w:kern w:val="2"/>
                <w:sz w:val="21"/>
                <w:szCs w:val="21"/>
                <w:highlight w:val="none"/>
                <w:lang w:val="en-US" w:eastAsia="zh-CN" w:bidi="ar"/>
              </w:rPr>
              <w:t>投标人应在投标文件中提供书面承诺：</w:t>
            </w:r>
            <w:r>
              <w:rPr>
                <w:rFonts w:hint="eastAsia" w:ascii="宋体" w:hAnsi="宋体" w:eastAsia="宋体" w:cs="宋体"/>
                <w:b/>
                <w:bCs w:val="0"/>
                <w:color w:val="auto"/>
                <w:kern w:val="2"/>
                <w:sz w:val="21"/>
                <w:szCs w:val="21"/>
                <w:highlight w:val="none"/>
                <w:lang w:val="en-US" w:eastAsia="zh-CN" w:bidi="ar"/>
              </w:rPr>
              <w:t>如获中标将配合采购单位及产品检验检测机构进行投标产品的检验检测，产品检验检测产生的一切相关费用由</w:t>
            </w:r>
            <w:r>
              <w:rPr>
                <w:rFonts w:hint="eastAsia" w:ascii="宋体" w:hAnsi="宋体" w:eastAsia="宋体" w:cs="宋体"/>
                <w:b/>
                <w:bCs w:val="0"/>
                <w:color w:val="auto"/>
                <w:kern w:val="0"/>
                <w:sz w:val="21"/>
                <w:szCs w:val="21"/>
                <w:highlight w:val="none"/>
                <w:lang w:val="en-US" w:eastAsia="zh-CN" w:bidi="ar"/>
              </w:rPr>
              <w:t>中标</w:t>
            </w:r>
            <w:r>
              <w:rPr>
                <w:rFonts w:hint="eastAsia" w:ascii="宋体" w:hAnsi="宋体" w:eastAsia="宋体" w:cs="宋体"/>
                <w:b/>
                <w:bCs w:val="0"/>
                <w:color w:val="auto"/>
                <w:kern w:val="2"/>
                <w:sz w:val="21"/>
                <w:szCs w:val="21"/>
                <w:highlight w:val="none"/>
                <w:lang w:val="en-US" w:eastAsia="zh-CN" w:bidi="ar"/>
              </w:rPr>
              <w:t>供应商承担。</w:t>
            </w:r>
          </w:p>
        </w:tc>
      </w:tr>
      <w:tr w14:paraId="2D51A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65CC4796">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63</w:t>
            </w:r>
          </w:p>
        </w:tc>
        <w:tc>
          <w:tcPr>
            <w:tcW w:w="396" w:type="pct"/>
            <w:noWrap w:val="0"/>
            <w:vAlign w:val="center"/>
          </w:tcPr>
          <w:p w14:paraId="7E86F10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1507829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25B20C07">
            <w:pPr>
              <w:keepNext w:val="0"/>
              <w:keepLines w:val="0"/>
              <w:suppressLineNumbers w:val="0"/>
              <w:spacing w:before="0" w:beforeAutospacing="0" w:after="0" w:afterAutospacing="0" w:line="360" w:lineRule="auto"/>
              <w:ind w:left="0" w:right="0" w:firstLine="422" w:firstLineChars="20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1"/>
                <w:szCs w:val="21"/>
                <w:highlight w:val="none"/>
                <w:lang w:val="en-US" w:eastAsia="zh-CN" w:bidi="ar"/>
              </w:rPr>
              <w:t>*4、</w:t>
            </w:r>
            <w:r>
              <w:rPr>
                <w:rFonts w:hint="eastAsia" w:ascii="宋体" w:hAnsi="宋体" w:eastAsia="宋体" w:cs="宋体"/>
                <w:b/>
                <w:bCs/>
                <w:color w:val="auto"/>
                <w:kern w:val="2"/>
                <w:sz w:val="21"/>
                <w:szCs w:val="21"/>
                <w:highlight w:val="none"/>
                <w:lang w:val="en-US" w:eastAsia="zh-CN" w:bidi="ar"/>
              </w:rPr>
              <w:t>投标人应在投标文件中提供书面承诺：</w:t>
            </w:r>
            <w:r>
              <w:rPr>
                <w:rFonts w:hint="eastAsia" w:ascii="宋体" w:hAnsi="宋体" w:eastAsia="宋体" w:cs="宋体"/>
                <w:b/>
                <w:bCs w:val="0"/>
                <w:color w:val="auto"/>
                <w:kern w:val="2"/>
                <w:sz w:val="21"/>
                <w:szCs w:val="21"/>
                <w:highlight w:val="none"/>
                <w:lang w:val="en-US" w:eastAsia="zh-CN" w:bidi="ar"/>
              </w:rPr>
              <w:t>同意免费提供2台品目号1-1，1台品目号1-3的投标产品给予采购单位作为备用机，且于中标后第一次供货时一并提供，质保期满后，备用机不再收回。如中标供应商未能如期送达备用机，应按每天每台承担相当于履约保证金1%的违约金。备用机归采购单位所有，由采购单位自行调配，合同履行结束后，无需归还。</w:t>
            </w:r>
          </w:p>
        </w:tc>
      </w:tr>
      <w:tr w14:paraId="1AB73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22C71330">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64</w:t>
            </w:r>
          </w:p>
        </w:tc>
        <w:tc>
          <w:tcPr>
            <w:tcW w:w="396" w:type="pct"/>
            <w:noWrap w:val="0"/>
            <w:vAlign w:val="center"/>
          </w:tcPr>
          <w:p w14:paraId="6ECC162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4971254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128FE14E">
            <w:pPr>
              <w:keepNext w:val="0"/>
              <w:keepLines w:val="0"/>
              <w:suppressLineNumbers w:val="0"/>
              <w:spacing w:before="0" w:beforeAutospacing="0" w:after="0" w:afterAutospacing="0" w:line="360" w:lineRule="auto"/>
              <w:ind w:left="0" w:right="0" w:firstLine="422" w:firstLineChars="20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1"/>
                <w:szCs w:val="21"/>
                <w:highlight w:val="none"/>
                <w:lang w:val="en-US" w:eastAsia="zh-CN" w:bidi="ar"/>
              </w:rPr>
              <w:t>*5、</w:t>
            </w:r>
            <w:r>
              <w:rPr>
                <w:rFonts w:hint="eastAsia" w:ascii="宋体" w:hAnsi="宋体" w:eastAsia="宋体" w:cs="宋体"/>
                <w:b/>
                <w:bCs/>
                <w:color w:val="auto"/>
                <w:kern w:val="2"/>
                <w:sz w:val="21"/>
                <w:szCs w:val="21"/>
                <w:highlight w:val="none"/>
                <w:lang w:val="en-US" w:eastAsia="zh-CN" w:bidi="ar"/>
              </w:rPr>
              <w:t>投标人应在投标文件中提供书面承诺</w:t>
            </w:r>
            <w:r>
              <w:rPr>
                <w:rFonts w:hint="eastAsia" w:ascii="宋体" w:hAnsi="宋体" w:eastAsia="宋体" w:cs="宋体"/>
                <w:b/>
                <w:bCs w:val="0"/>
                <w:color w:val="auto"/>
                <w:kern w:val="2"/>
                <w:sz w:val="21"/>
                <w:szCs w:val="21"/>
                <w:highlight w:val="none"/>
                <w:lang w:val="en-US" w:eastAsia="zh-CN" w:bidi="ar"/>
              </w:rPr>
              <w:t>：</w:t>
            </w:r>
            <w:r>
              <w:rPr>
                <w:rFonts w:hint="eastAsia" w:ascii="宋体" w:hAnsi="宋体" w:eastAsia="宋体" w:cs="宋体"/>
                <w:b/>
                <w:bCs w:val="0"/>
                <w:color w:val="auto"/>
                <w:kern w:val="0"/>
                <w:sz w:val="21"/>
                <w:szCs w:val="21"/>
                <w:highlight w:val="none"/>
                <w:lang w:val="en-US" w:eastAsia="zh-CN" w:bidi="ar"/>
              </w:rPr>
              <w:t>中标</w:t>
            </w:r>
            <w:r>
              <w:rPr>
                <w:rFonts w:hint="eastAsia" w:ascii="宋体" w:hAnsi="宋体" w:eastAsia="宋体" w:cs="宋体"/>
                <w:b/>
                <w:bCs w:val="0"/>
                <w:color w:val="auto"/>
                <w:kern w:val="2"/>
                <w:sz w:val="21"/>
                <w:szCs w:val="21"/>
                <w:highlight w:val="none"/>
                <w:lang w:val="en-US" w:eastAsia="zh-CN" w:bidi="ar"/>
              </w:rPr>
              <w:t>供应商不按采购合同履行的，采购单位有权与排位在</w:t>
            </w:r>
            <w:r>
              <w:rPr>
                <w:rFonts w:hint="eastAsia" w:ascii="宋体" w:hAnsi="宋体" w:eastAsia="宋体" w:cs="宋体"/>
                <w:b/>
                <w:bCs w:val="0"/>
                <w:color w:val="auto"/>
                <w:kern w:val="0"/>
                <w:sz w:val="21"/>
                <w:szCs w:val="21"/>
                <w:highlight w:val="none"/>
                <w:lang w:val="en-US" w:eastAsia="zh-CN" w:bidi="ar"/>
              </w:rPr>
              <w:t>中标</w:t>
            </w:r>
            <w:r>
              <w:rPr>
                <w:rFonts w:hint="eastAsia" w:ascii="宋体" w:hAnsi="宋体" w:eastAsia="宋体" w:cs="宋体"/>
                <w:b/>
                <w:bCs w:val="0"/>
                <w:color w:val="auto"/>
                <w:kern w:val="2"/>
                <w:sz w:val="21"/>
                <w:szCs w:val="21"/>
                <w:highlight w:val="none"/>
                <w:lang w:val="en-US" w:eastAsia="zh-CN" w:bidi="ar"/>
              </w:rPr>
              <w:t>供应商之后第一位的</w:t>
            </w:r>
            <w:r>
              <w:rPr>
                <w:rFonts w:hint="eastAsia" w:ascii="宋体" w:hAnsi="宋体" w:eastAsia="宋体" w:cs="宋体"/>
                <w:b/>
                <w:bCs w:val="0"/>
                <w:color w:val="auto"/>
                <w:kern w:val="0"/>
                <w:sz w:val="21"/>
                <w:szCs w:val="21"/>
                <w:highlight w:val="none"/>
                <w:lang w:val="en-US" w:eastAsia="zh-CN" w:bidi="ar"/>
              </w:rPr>
              <w:t>中标</w:t>
            </w:r>
            <w:r>
              <w:rPr>
                <w:rFonts w:hint="eastAsia" w:ascii="宋体" w:hAnsi="宋体" w:eastAsia="宋体" w:cs="宋体"/>
                <w:b/>
                <w:bCs w:val="0"/>
                <w:color w:val="auto"/>
                <w:kern w:val="2"/>
                <w:sz w:val="21"/>
                <w:szCs w:val="21"/>
                <w:highlight w:val="none"/>
                <w:lang w:val="en-US" w:eastAsia="zh-CN" w:bidi="ar"/>
              </w:rPr>
              <w:t>候选供应商签订采购合同，以此类推。并且，作为</w:t>
            </w:r>
            <w:r>
              <w:rPr>
                <w:rFonts w:hint="eastAsia" w:ascii="宋体" w:hAnsi="宋体" w:eastAsia="宋体" w:cs="宋体"/>
                <w:b/>
                <w:bCs w:val="0"/>
                <w:color w:val="auto"/>
                <w:kern w:val="0"/>
                <w:sz w:val="21"/>
                <w:szCs w:val="21"/>
                <w:highlight w:val="none"/>
                <w:lang w:val="en-US" w:eastAsia="zh-CN" w:bidi="ar"/>
              </w:rPr>
              <w:t>中标</w:t>
            </w:r>
            <w:r>
              <w:rPr>
                <w:rFonts w:hint="eastAsia" w:ascii="宋体" w:hAnsi="宋体" w:eastAsia="宋体" w:cs="宋体"/>
                <w:b/>
                <w:bCs w:val="0"/>
                <w:color w:val="auto"/>
                <w:kern w:val="2"/>
                <w:sz w:val="21"/>
                <w:szCs w:val="21"/>
                <w:highlight w:val="none"/>
                <w:lang w:val="en-US" w:eastAsia="zh-CN" w:bidi="ar"/>
              </w:rPr>
              <w:t>供应商之后第一位的</w:t>
            </w:r>
            <w:r>
              <w:rPr>
                <w:rFonts w:hint="eastAsia" w:ascii="宋体" w:hAnsi="宋体" w:eastAsia="宋体" w:cs="宋体"/>
                <w:b/>
                <w:bCs w:val="0"/>
                <w:color w:val="auto"/>
                <w:kern w:val="0"/>
                <w:sz w:val="21"/>
                <w:szCs w:val="21"/>
                <w:highlight w:val="none"/>
                <w:lang w:val="en-US" w:eastAsia="zh-CN" w:bidi="ar"/>
              </w:rPr>
              <w:t>中标</w:t>
            </w:r>
            <w:r>
              <w:rPr>
                <w:rFonts w:hint="eastAsia" w:ascii="宋体" w:hAnsi="宋体" w:eastAsia="宋体" w:cs="宋体"/>
                <w:b/>
                <w:bCs w:val="0"/>
                <w:color w:val="auto"/>
                <w:kern w:val="2"/>
                <w:sz w:val="21"/>
                <w:szCs w:val="21"/>
                <w:highlight w:val="none"/>
                <w:lang w:val="en-US" w:eastAsia="zh-CN" w:bidi="ar"/>
              </w:rPr>
              <w:t>供应商同意与采购单位在</w:t>
            </w:r>
            <w:r>
              <w:rPr>
                <w:rFonts w:hint="eastAsia" w:ascii="宋体" w:hAnsi="宋体" w:eastAsia="宋体" w:cs="宋体"/>
                <w:b/>
                <w:bCs w:val="0"/>
                <w:color w:val="auto"/>
                <w:kern w:val="0"/>
                <w:sz w:val="21"/>
                <w:szCs w:val="21"/>
                <w:highlight w:val="none"/>
                <w:lang w:val="en-US" w:eastAsia="zh-CN" w:bidi="ar"/>
              </w:rPr>
              <w:t>中标</w:t>
            </w:r>
            <w:r>
              <w:rPr>
                <w:rFonts w:hint="eastAsia" w:ascii="宋体" w:hAnsi="宋体" w:eastAsia="宋体" w:cs="宋体"/>
                <w:b/>
                <w:bCs w:val="0"/>
                <w:color w:val="auto"/>
                <w:kern w:val="2"/>
                <w:sz w:val="21"/>
                <w:szCs w:val="21"/>
                <w:highlight w:val="none"/>
                <w:lang w:val="en-US" w:eastAsia="zh-CN" w:bidi="ar"/>
              </w:rPr>
              <w:t>结果公示期结束后直接按其报价签订采购合同。</w:t>
            </w:r>
          </w:p>
        </w:tc>
      </w:tr>
      <w:tr w14:paraId="35A29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79787741">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65</w:t>
            </w:r>
          </w:p>
        </w:tc>
        <w:tc>
          <w:tcPr>
            <w:tcW w:w="396" w:type="pct"/>
            <w:noWrap w:val="0"/>
            <w:vAlign w:val="center"/>
          </w:tcPr>
          <w:p w14:paraId="3AEB98A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6E67552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3B7C3C77">
            <w:pPr>
              <w:keepNext w:val="0"/>
              <w:keepLines w:val="0"/>
              <w:widowControl/>
              <w:suppressLineNumbers w:val="0"/>
              <w:spacing w:before="0" w:beforeAutospacing="0" w:after="0" w:afterAutospacing="0" w:line="360" w:lineRule="auto"/>
              <w:ind w:left="0" w:right="0" w:firstLine="422" w:firstLineChars="20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1"/>
                <w:szCs w:val="21"/>
                <w:highlight w:val="none"/>
                <w:lang w:val="en-US" w:eastAsia="zh-CN" w:bidi="ar"/>
              </w:rPr>
              <w:t>*6、</w:t>
            </w:r>
            <w:r>
              <w:rPr>
                <w:rFonts w:hint="eastAsia" w:ascii="宋体" w:hAnsi="宋体" w:eastAsia="宋体" w:cs="宋体"/>
                <w:b/>
                <w:bCs/>
                <w:color w:val="auto"/>
                <w:kern w:val="2"/>
                <w:sz w:val="21"/>
                <w:szCs w:val="21"/>
                <w:highlight w:val="none"/>
                <w:lang w:val="en-US" w:eastAsia="zh-CN" w:bidi="ar"/>
              </w:rPr>
              <w:t>投标人应在投标文件中提供书面承诺：</w:t>
            </w:r>
            <w:r>
              <w:rPr>
                <w:rFonts w:hint="eastAsia" w:ascii="宋体" w:hAnsi="宋体" w:eastAsia="宋体" w:cs="宋体"/>
                <w:b/>
                <w:bCs w:val="0"/>
                <w:color w:val="auto"/>
                <w:kern w:val="2"/>
                <w:sz w:val="21"/>
                <w:szCs w:val="21"/>
                <w:highlight w:val="none"/>
                <w:lang w:val="en-US" w:eastAsia="zh-CN" w:bidi="ar"/>
              </w:rPr>
              <w:t>若</w:t>
            </w:r>
            <w:r>
              <w:rPr>
                <w:rFonts w:hint="eastAsia" w:ascii="宋体" w:hAnsi="宋体" w:eastAsia="宋体" w:cs="宋体"/>
                <w:b/>
                <w:bCs w:val="0"/>
                <w:color w:val="auto"/>
                <w:kern w:val="0"/>
                <w:sz w:val="21"/>
                <w:szCs w:val="21"/>
                <w:highlight w:val="none"/>
                <w:lang w:val="en-US" w:eastAsia="zh-CN" w:bidi="ar"/>
              </w:rPr>
              <w:t>中标</w:t>
            </w:r>
            <w:r>
              <w:rPr>
                <w:rFonts w:hint="eastAsia" w:ascii="宋体" w:hAnsi="宋体" w:eastAsia="宋体" w:cs="宋体"/>
                <w:b/>
                <w:bCs w:val="0"/>
                <w:color w:val="auto"/>
                <w:kern w:val="2"/>
                <w:sz w:val="21"/>
                <w:szCs w:val="21"/>
                <w:highlight w:val="none"/>
                <w:lang w:val="en-US" w:eastAsia="zh-CN" w:bidi="ar"/>
              </w:rPr>
              <w:t>将无条件参与采购单位举办的壹年两次的政府大宗产品推介会，并且免费提供相应的</w:t>
            </w:r>
            <w:r>
              <w:rPr>
                <w:rFonts w:hint="eastAsia" w:ascii="宋体" w:hAnsi="宋体" w:eastAsia="宋体" w:cs="宋体"/>
                <w:b/>
                <w:bCs w:val="0"/>
                <w:color w:val="auto"/>
                <w:kern w:val="0"/>
                <w:sz w:val="21"/>
                <w:szCs w:val="21"/>
                <w:highlight w:val="none"/>
                <w:lang w:val="en-US" w:eastAsia="zh-CN" w:bidi="ar"/>
              </w:rPr>
              <w:t>中标</w:t>
            </w:r>
            <w:r>
              <w:rPr>
                <w:rFonts w:hint="eastAsia" w:ascii="宋体" w:hAnsi="宋体" w:eastAsia="宋体" w:cs="宋体"/>
                <w:b/>
                <w:bCs w:val="0"/>
                <w:color w:val="auto"/>
                <w:kern w:val="2"/>
                <w:sz w:val="21"/>
                <w:szCs w:val="21"/>
                <w:highlight w:val="none"/>
                <w:lang w:val="en-US" w:eastAsia="zh-CN" w:bidi="ar"/>
              </w:rPr>
              <w:t>机型作为样机展示，否则视为违约，投标人应按</w:t>
            </w:r>
            <w:r>
              <w:rPr>
                <w:rFonts w:hint="eastAsia" w:ascii="宋体" w:hAnsi="宋体" w:eastAsia="宋体" w:cs="宋体"/>
                <w:b/>
                <w:bCs w:val="0"/>
                <w:color w:val="auto"/>
                <w:kern w:val="0"/>
                <w:sz w:val="21"/>
                <w:szCs w:val="21"/>
                <w:highlight w:val="none"/>
                <w:lang w:val="en-US" w:eastAsia="zh-CN" w:bidi="ar"/>
              </w:rPr>
              <w:t>中标</w:t>
            </w:r>
            <w:r>
              <w:rPr>
                <w:rFonts w:hint="eastAsia" w:ascii="宋体" w:hAnsi="宋体" w:eastAsia="宋体" w:cs="宋体"/>
                <w:b/>
                <w:bCs w:val="0"/>
                <w:color w:val="auto"/>
                <w:kern w:val="2"/>
                <w:sz w:val="21"/>
                <w:szCs w:val="21"/>
                <w:highlight w:val="none"/>
                <w:lang w:val="en-US" w:eastAsia="zh-CN" w:bidi="ar"/>
              </w:rPr>
              <w:t>机型的</w:t>
            </w:r>
            <w:r>
              <w:rPr>
                <w:rFonts w:hint="eastAsia" w:ascii="宋体" w:hAnsi="宋体" w:eastAsia="宋体" w:cs="宋体"/>
                <w:b/>
                <w:bCs w:val="0"/>
                <w:color w:val="auto"/>
                <w:kern w:val="0"/>
                <w:sz w:val="21"/>
                <w:szCs w:val="21"/>
                <w:highlight w:val="none"/>
                <w:lang w:val="en-US" w:eastAsia="zh-CN" w:bidi="ar"/>
              </w:rPr>
              <w:t>中标</w:t>
            </w:r>
            <w:r>
              <w:rPr>
                <w:rFonts w:hint="eastAsia" w:ascii="宋体" w:hAnsi="宋体" w:eastAsia="宋体" w:cs="宋体"/>
                <w:b/>
                <w:bCs w:val="0"/>
                <w:color w:val="auto"/>
                <w:kern w:val="2"/>
                <w:sz w:val="21"/>
                <w:szCs w:val="21"/>
                <w:highlight w:val="none"/>
                <w:lang w:val="en-US" w:eastAsia="zh-CN" w:bidi="ar"/>
              </w:rPr>
              <w:t>单价向采购单位支付违约金，若</w:t>
            </w:r>
            <w:r>
              <w:rPr>
                <w:rFonts w:hint="eastAsia" w:ascii="宋体" w:hAnsi="宋体" w:eastAsia="宋体" w:cs="宋体"/>
                <w:b/>
                <w:bCs w:val="0"/>
                <w:color w:val="auto"/>
                <w:kern w:val="0"/>
                <w:sz w:val="21"/>
                <w:szCs w:val="21"/>
                <w:highlight w:val="none"/>
                <w:lang w:val="en-US" w:eastAsia="zh-CN" w:bidi="ar"/>
              </w:rPr>
              <w:t>中标</w:t>
            </w:r>
            <w:r>
              <w:rPr>
                <w:rFonts w:hint="eastAsia" w:ascii="宋体" w:hAnsi="宋体" w:eastAsia="宋体" w:cs="宋体"/>
                <w:b/>
                <w:bCs w:val="0"/>
                <w:color w:val="auto"/>
                <w:kern w:val="2"/>
                <w:sz w:val="21"/>
                <w:szCs w:val="21"/>
                <w:highlight w:val="none"/>
                <w:lang w:val="en-US" w:eastAsia="zh-CN" w:bidi="ar"/>
              </w:rPr>
              <w:t>供应商未向采购单位支付，则采购单位有权直接从供货及售后服务保证金款项中直接给予扣除。</w:t>
            </w:r>
          </w:p>
        </w:tc>
      </w:tr>
      <w:tr w14:paraId="416F0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48882869">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66</w:t>
            </w:r>
          </w:p>
        </w:tc>
        <w:tc>
          <w:tcPr>
            <w:tcW w:w="396" w:type="pct"/>
            <w:noWrap w:val="0"/>
            <w:vAlign w:val="center"/>
          </w:tcPr>
          <w:p w14:paraId="149CF4E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428EABF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36D60045">
            <w:pPr>
              <w:keepNext w:val="0"/>
              <w:keepLines w:val="0"/>
              <w:suppressLineNumbers w:val="0"/>
              <w:spacing w:before="0" w:beforeAutospacing="0" w:after="0" w:afterAutospacing="0" w:line="360" w:lineRule="auto"/>
              <w:ind w:left="0" w:right="0" w:firstLine="422" w:firstLineChars="20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1"/>
                <w:szCs w:val="21"/>
                <w:highlight w:val="none"/>
                <w:lang w:val="en-US" w:eastAsia="zh-CN" w:bidi="ar"/>
              </w:rPr>
              <w:t>*7、</w:t>
            </w:r>
            <w:r>
              <w:rPr>
                <w:rFonts w:hint="eastAsia" w:ascii="宋体" w:hAnsi="宋体" w:eastAsia="宋体" w:cs="宋体"/>
                <w:b/>
                <w:bCs/>
                <w:color w:val="auto"/>
                <w:kern w:val="2"/>
                <w:sz w:val="21"/>
                <w:szCs w:val="21"/>
                <w:highlight w:val="none"/>
                <w:lang w:val="en-US" w:eastAsia="zh-CN" w:bidi="ar"/>
              </w:rPr>
              <w:t>投标人应在投标文件中提供书面承诺：</w:t>
            </w:r>
            <w:r>
              <w:rPr>
                <w:rFonts w:hint="eastAsia" w:ascii="宋体" w:hAnsi="宋体" w:eastAsia="宋体" w:cs="宋体"/>
                <w:b/>
                <w:bCs w:val="0"/>
                <w:color w:val="auto"/>
                <w:kern w:val="2"/>
                <w:sz w:val="21"/>
                <w:szCs w:val="21"/>
                <w:highlight w:val="none"/>
                <w:lang w:val="en-US" w:eastAsia="zh-CN" w:bidi="ar"/>
              </w:rPr>
              <w:t>若</w:t>
            </w:r>
            <w:r>
              <w:rPr>
                <w:rFonts w:hint="eastAsia" w:ascii="宋体" w:hAnsi="宋体" w:eastAsia="宋体" w:cs="宋体"/>
                <w:b/>
                <w:bCs w:val="0"/>
                <w:color w:val="auto"/>
                <w:kern w:val="0"/>
                <w:sz w:val="21"/>
                <w:szCs w:val="21"/>
                <w:highlight w:val="none"/>
                <w:lang w:val="en-US" w:eastAsia="zh-CN" w:bidi="ar"/>
              </w:rPr>
              <w:t>中标</w:t>
            </w:r>
            <w:r>
              <w:rPr>
                <w:rFonts w:hint="eastAsia" w:ascii="宋体" w:hAnsi="宋体" w:eastAsia="宋体" w:cs="宋体"/>
                <w:b/>
                <w:bCs w:val="0"/>
                <w:color w:val="auto"/>
                <w:kern w:val="2"/>
                <w:sz w:val="21"/>
                <w:szCs w:val="21"/>
                <w:highlight w:val="none"/>
                <w:lang w:val="en-US" w:eastAsia="zh-CN" w:bidi="ar"/>
              </w:rPr>
              <w:t>，将确保任何产品型号在供货期内能够满足采购单位的需求；若出现</w:t>
            </w:r>
            <w:r>
              <w:rPr>
                <w:rFonts w:hint="eastAsia" w:ascii="宋体" w:hAnsi="宋体" w:eastAsia="宋体" w:cs="宋体"/>
                <w:b/>
                <w:bCs w:val="0"/>
                <w:color w:val="auto"/>
                <w:kern w:val="0"/>
                <w:sz w:val="21"/>
                <w:szCs w:val="21"/>
                <w:highlight w:val="none"/>
                <w:lang w:val="en-US" w:eastAsia="zh-CN" w:bidi="ar"/>
              </w:rPr>
              <w:t>中标</w:t>
            </w:r>
            <w:r>
              <w:rPr>
                <w:rFonts w:hint="eastAsia" w:ascii="宋体" w:hAnsi="宋体" w:eastAsia="宋体" w:cs="宋体"/>
                <w:b/>
                <w:bCs w:val="0"/>
                <w:color w:val="auto"/>
                <w:kern w:val="2"/>
                <w:sz w:val="21"/>
                <w:szCs w:val="21"/>
                <w:highlight w:val="none"/>
                <w:lang w:val="en-US" w:eastAsia="zh-CN" w:bidi="ar"/>
              </w:rPr>
              <w:t>型号升级、变更或者停产的情况，视为违约。若在供货期内投标人有任何产品型号或配件升级变更，应至少提前一个月书面通知采购单位相关信息（包括其升级产品型号、部件及详细配置方案），经采购单位书面同意后方可按升级后的产品（或配件）供货，价格按</w:t>
            </w:r>
            <w:r>
              <w:rPr>
                <w:rFonts w:hint="eastAsia" w:ascii="宋体" w:hAnsi="宋体" w:eastAsia="宋体" w:cs="宋体"/>
                <w:b/>
                <w:bCs w:val="0"/>
                <w:color w:val="auto"/>
                <w:kern w:val="0"/>
                <w:sz w:val="21"/>
                <w:szCs w:val="21"/>
                <w:highlight w:val="none"/>
                <w:lang w:val="en-US" w:eastAsia="zh-CN" w:bidi="ar"/>
              </w:rPr>
              <w:t>中标</w:t>
            </w:r>
            <w:r>
              <w:rPr>
                <w:rFonts w:hint="eastAsia" w:ascii="宋体" w:hAnsi="宋体" w:eastAsia="宋体" w:cs="宋体"/>
                <w:b/>
                <w:bCs w:val="0"/>
                <w:color w:val="auto"/>
                <w:kern w:val="2"/>
                <w:sz w:val="21"/>
                <w:szCs w:val="21"/>
                <w:highlight w:val="none"/>
                <w:lang w:val="en-US" w:eastAsia="zh-CN" w:bidi="ar"/>
              </w:rPr>
              <w:t>单价执行，交货时间按原报价承诺的时间执行。同时，在采购单位同意之前，投标人仍应按原承诺《定货单》的要求供货。否则，按逾期交货处理。若在合同期内投标人有任何产品型号或配件停产且无法提供符合采购单位要求的升级型号或配件则视为严重违约，投标人应按每款机型20000元向采购单位缴纳违约金，采购单位有权单方面解除采购合同，没收履约保证金并且有权与投标人之后第一位的中标候选供应商签订合同。</w:t>
            </w:r>
          </w:p>
        </w:tc>
      </w:tr>
      <w:tr w14:paraId="4F64E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12C66D17">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67</w:t>
            </w:r>
          </w:p>
        </w:tc>
        <w:tc>
          <w:tcPr>
            <w:tcW w:w="396" w:type="pct"/>
            <w:noWrap w:val="0"/>
            <w:vAlign w:val="center"/>
          </w:tcPr>
          <w:p w14:paraId="526F8C1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14C6517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03C7CD8E">
            <w:pPr>
              <w:keepNext w:val="0"/>
              <w:keepLines w:val="0"/>
              <w:suppressLineNumbers w:val="0"/>
              <w:spacing w:before="0" w:beforeAutospacing="0" w:after="0" w:afterAutospacing="0" w:line="360" w:lineRule="auto"/>
              <w:ind w:left="0" w:right="0" w:firstLine="422" w:firstLineChars="200"/>
              <w:rPr>
                <w:rFonts w:hint="eastAsia" w:ascii="宋体" w:hAnsi="宋体" w:eastAsia="宋体" w:cs="宋体"/>
                <w:color w:val="auto"/>
                <w:sz w:val="24"/>
                <w:szCs w:val="24"/>
                <w:highlight w:val="none"/>
              </w:rPr>
            </w:pPr>
            <w:r>
              <w:rPr>
                <w:rFonts w:hint="eastAsia" w:ascii="宋体" w:hAnsi="宋体" w:eastAsia="宋体" w:cs="宋体"/>
                <w:b/>
                <w:bCs w:val="0"/>
                <w:color w:val="auto"/>
                <w:kern w:val="0"/>
                <w:sz w:val="21"/>
                <w:szCs w:val="21"/>
                <w:highlight w:val="none"/>
                <w:lang w:val="en-US" w:eastAsia="zh-CN" w:bidi="ar"/>
              </w:rPr>
              <w:t>*8、</w:t>
            </w:r>
            <w:r>
              <w:rPr>
                <w:rFonts w:hint="eastAsia" w:ascii="宋体" w:hAnsi="宋体" w:eastAsia="宋体" w:cs="宋体"/>
                <w:b/>
                <w:bCs/>
                <w:color w:val="auto"/>
                <w:kern w:val="2"/>
                <w:sz w:val="21"/>
                <w:szCs w:val="21"/>
                <w:highlight w:val="none"/>
                <w:lang w:val="en-US" w:eastAsia="zh-CN" w:bidi="ar"/>
              </w:rPr>
              <w:t>投标人应在投标文件中提供书面承诺：</w:t>
            </w:r>
            <w:r>
              <w:rPr>
                <w:rFonts w:hint="eastAsia" w:ascii="宋体" w:hAnsi="宋体" w:eastAsia="宋体" w:cs="宋体"/>
                <w:b/>
                <w:bCs w:val="0"/>
                <w:color w:val="auto"/>
                <w:kern w:val="2"/>
                <w:sz w:val="21"/>
                <w:szCs w:val="21"/>
                <w:highlight w:val="none"/>
                <w:lang w:val="en-US" w:eastAsia="zh-CN" w:bidi="ar"/>
              </w:rPr>
              <w:t>若</w:t>
            </w:r>
            <w:r>
              <w:rPr>
                <w:rFonts w:hint="eastAsia" w:ascii="宋体" w:hAnsi="宋体" w:eastAsia="宋体" w:cs="宋体"/>
                <w:b/>
                <w:bCs w:val="0"/>
                <w:color w:val="auto"/>
                <w:kern w:val="0"/>
                <w:sz w:val="21"/>
                <w:szCs w:val="21"/>
                <w:highlight w:val="none"/>
                <w:lang w:val="en-US" w:eastAsia="zh-CN" w:bidi="ar"/>
              </w:rPr>
              <w:t>中标</w:t>
            </w:r>
            <w:r>
              <w:rPr>
                <w:rFonts w:hint="eastAsia" w:ascii="宋体" w:hAnsi="宋体" w:eastAsia="宋体" w:cs="宋体"/>
                <w:b/>
                <w:bCs w:val="0"/>
                <w:color w:val="auto"/>
                <w:kern w:val="2"/>
                <w:sz w:val="21"/>
                <w:szCs w:val="21"/>
                <w:highlight w:val="none"/>
                <w:lang w:val="en-US" w:eastAsia="zh-CN" w:bidi="ar"/>
              </w:rPr>
              <w:t>，其与采购单位之间发生的一切费用均以人民币进行结算及支付；采购单位可以通过银行转账的形式进行支付。</w:t>
            </w:r>
          </w:p>
        </w:tc>
      </w:tr>
      <w:tr w14:paraId="5B599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207C746E">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68</w:t>
            </w:r>
          </w:p>
        </w:tc>
        <w:tc>
          <w:tcPr>
            <w:tcW w:w="396" w:type="pct"/>
            <w:noWrap w:val="0"/>
            <w:vAlign w:val="center"/>
          </w:tcPr>
          <w:p w14:paraId="5CE79F0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3DD6DBB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0D077085">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1"/>
                <w:szCs w:val="21"/>
                <w:highlight w:val="none"/>
                <w:lang w:val="en-US" w:eastAsia="zh-CN" w:bidi="ar"/>
              </w:rPr>
              <w:t>*9、</w:t>
            </w:r>
            <w:r>
              <w:rPr>
                <w:rFonts w:hint="eastAsia" w:ascii="宋体" w:hAnsi="宋体" w:eastAsia="宋体" w:cs="宋体"/>
                <w:b/>
                <w:bCs/>
                <w:color w:val="auto"/>
                <w:kern w:val="2"/>
                <w:sz w:val="21"/>
                <w:szCs w:val="21"/>
                <w:highlight w:val="none"/>
                <w:lang w:val="en-US" w:eastAsia="zh-CN" w:bidi="ar"/>
              </w:rPr>
              <w:t>投标人应在投标文件中提供书面承诺：</w:t>
            </w:r>
            <w:r>
              <w:rPr>
                <w:rFonts w:hint="eastAsia" w:ascii="宋体" w:hAnsi="宋体" w:eastAsia="宋体" w:cs="宋体"/>
                <w:b/>
                <w:bCs w:val="0"/>
                <w:color w:val="auto"/>
                <w:kern w:val="0"/>
                <w:sz w:val="21"/>
                <w:szCs w:val="21"/>
                <w:highlight w:val="none"/>
                <w:lang w:val="en-US" w:eastAsia="zh-CN" w:bidi="ar"/>
              </w:rPr>
              <w:t>如果中标，验收时（包括初验和最终验收），</w:t>
            </w:r>
            <w:r>
              <w:rPr>
                <w:rFonts w:hint="eastAsia" w:ascii="宋体" w:hAnsi="宋体" w:eastAsia="宋体" w:cs="宋体"/>
                <w:b/>
                <w:bCs w:val="0"/>
                <w:color w:val="auto"/>
                <w:kern w:val="2"/>
                <w:sz w:val="21"/>
                <w:szCs w:val="21"/>
                <w:highlight w:val="none"/>
                <w:lang w:val="en-US" w:eastAsia="zh-CN" w:bidi="ar"/>
              </w:rPr>
              <w:t>投标</w:t>
            </w:r>
            <w:r>
              <w:rPr>
                <w:rFonts w:hint="eastAsia" w:ascii="宋体" w:hAnsi="宋体" w:eastAsia="宋体" w:cs="宋体"/>
                <w:b/>
                <w:bCs w:val="0"/>
                <w:color w:val="auto"/>
                <w:kern w:val="0"/>
                <w:sz w:val="21"/>
                <w:szCs w:val="21"/>
                <w:highlight w:val="none"/>
                <w:lang w:val="en-US" w:eastAsia="zh-CN" w:bidi="ar"/>
              </w:rPr>
              <w:t>人必须派代表参加并确认验收结果，否则视为</w:t>
            </w:r>
            <w:r>
              <w:rPr>
                <w:rFonts w:hint="eastAsia" w:ascii="宋体" w:hAnsi="宋体" w:eastAsia="宋体" w:cs="宋体"/>
                <w:b/>
                <w:bCs w:val="0"/>
                <w:color w:val="auto"/>
                <w:kern w:val="2"/>
                <w:sz w:val="21"/>
                <w:szCs w:val="21"/>
                <w:highlight w:val="none"/>
                <w:lang w:val="en-US" w:eastAsia="zh-CN" w:bidi="ar"/>
              </w:rPr>
              <w:t>投标</w:t>
            </w:r>
            <w:r>
              <w:rPr>
                <w:rFonts w:hint="eastAsia" w:ascii="宋体" w:hAnsi="宋体" w:eastAsia="宋体" w:cs="宋体"/>
                <w:b/>
                <w:bCs w:val="0"/>
                <w:color w:val="auto"/>
                <w:kern w:val="0"/>
                <w:sz w:val="21"/>
                <w:szCs w:val="21"/>
                <w:highlight w:val="none"/>
                <w:lang w:val="en-US" w:eastAsia="zh-CN" w:bidi="ar"/>
              </w:rPr>
              <w:t>人对验收意见无异议。如该批次产品在最终验收时，出现开箱破损或者故障，无法进行最终验收的，</w:t>
            </w:r>
            <w:r>
              <w:rPr>
                <w:rFonts w:hint="eastAsia" w:ascii="宋体" w:hAnsi="宋体" w:eastAsia="宋体" w:cs="宋体"/>
                <w:b/>
                <w:bCs w:val="0"/>
                <w:color w:val="auto"/>
                <w:kern w:val="2"/>
                <w:sz w:val="21"/>
                <w:szCs w:val="21"/>
                <w:highlight w:val="none"/>
                <w:lang w:val="en-US" w:eastAsia="zh-CN" w:bidi="ar"/>
              </w:rPr>
              <w:t>投标</w:t>
            </w:r>
            <w:r>
              <w:rPr>
                <w:rFonts w:hint="eastAsia" w:ascii="宋体" w:hAnsi="宋体" w:eastAsia="宋体" w:cs="宋体"/>
                <w:b/>
                <w:bCs w:val="0"/>
                <w:color w:val="auto"/>
                <w:kern w:val="0"/>
                <w:sz w:val="21"/>
                <w:szCs w:val="21"/>
                <w:highlight w:val="none"/>
                <w:lang w:val="en-US" w:eastAsia="zh-CN" w:bidi="ar"/>
              </w:rPr>
              <w:t>人承诺无条件给予更换新机并保证最终验收的顺畅进行。若</w:t>
            </w:r>
            <w:r>
              <w:rPr>
                <w:rFonts w:hint="eastAsia" w:ascii="宋体" w:hAnsi="宋体" w:eastAsia="宋体" w:cs="宋体"/>
                <w:b/>
                <w:bCs w:val="0"/>
                <w:color w:val="auto"/>
                <w:kern w:val="2"/>
                <w:sz w:val="21"/>
                <w:szCs w:val="21"/>
                <w:highlight w:val="none"/>
                <w:lang w:val="en-US" w:eastAsia="zh-CN" w:bidi="ar"/>
              </w:rPr>
              <w:t>投标</w:t>
            </w:r>
            <w:r>
              <w:rPr>
                <w:rFonts w:hint="eastAsia" w:ascii="宋体" w:hAnsi="宋体" w:eastAsia="宋体" w:cs="宋体"/>
                <w:b/>
                <w:bCs w:val="0"/>
                <w:color w:val="auto"/>
                <w:kern w:val="0"/>
                <w:sz w:val="21"/>
                <w:szCs w:val="21"/>
                <w:highlight w:val="none"/>
                <w:lang w:val="en-US" w:eastAsia="zh-CN" w:bidi="ar"/>
              </w:rPr>
              <w:t>人不同意更换新机或者配合，采购单位有权直接于</w:t>
            </w:r>
            <w:r>
              <w:rPr>
                <w:rFonts w:hint="eastAsia" w:ascii="宋体" w:hAnsi="宋体" w:eastAsia="宋体" w:cs="宋体"/>
                <w:b/>
                <w:bCs w:val="0"/>
                <w:color w:val="auto"/>
                <w:kern w:val="2"/>
                <w:sz w:val="21"/>
                <w:szCs w:val="21"/>
                <w:highlight w:val="none"/>
                <w:lang w:val="en-US" w:eastAsia="zh-CN" w:bidi="ar"/>
              </w:rPr>
              <w:t>投标</w:t>
            </w:r>
            <w:r>
              <w:rPr>
                <w:rFonts w:hint="eastAsia" w:ascii="宋体" w:hAnsi="宋体" w:eastAsia="宋体" w:cs="宋体"/>
                <w:b/>
                <w:bCs w:val="0"/>
                <w:color w:val="auto"/>
                <w:kern w:val="0"/>
                <w:sz w:val="21"/>
                <w:szCs w:val="21"/>
                <w:highlight w:val="none"/>
                <w:lang w:val="en-US" w:eastAsia="zh-CN" w:bidi="ar"/>
              </w:rPr>
              <w:t>人的供货及售后服务保证金中扣除该批次产品及安装的等额费用。该条款可能造成的成本费用包含在</w:t>
            </w:r>
            <w:r>
              <w:rPr>
                <w:rFonts w:hint="eastAsia" w:ascii="宋体" w:hAnsi="宋体" w:eastAsia="宋体" w:cs="宋体"/>
                <w:b/>
                <w:bCs w:val="0"/>
                <w:color w:val="auto"/>
                <w:kern w:val="2"/>
                <w:sz w:val="21"/>
                <w:szCs w:val="21"/>
                <w:highlight w:val="none"/>
                <w:lang w:val="en-US" w:eastAsia="zh-CN" w:bidi="ar"/>
              </w:rPr>
              <w:t>投标</w:t>
            </w:r>
            <w:r>
              <w:rPr>
                <w:rFonts w:hint="eastAsia" w:ascii="宋体" w:hAnsi="宋体" w:eastAsia="宋体" w:cs="宋体"/>
                <w:b/>
                <w:bCs w:val="0"/>
                <w:color w:val="auto"/>
                <w:kern w:val="0"/>
                <w:sz w:val="21"/>
                <w:szCs w:val="21"/>
                <w:highlight w:val="none"/>
                <w:lang w:val="en-US" w:eastAsia="zh-CN" w:bidi="ar"/>
              </w:rPr>
              <w:t>人的产品报价中。</w:t>
            </w:r>
          </w:p>
        </w:tc>
      </w:tr>
      <w:tr w14:paraId="258BC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0EDEC46D">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69</w:t>
            </w:r>
          </w:p>
        </w:tc>
        <w:tc>
          <w:tcPr>
            <w:tcW w:w="396" w:type="pct"/>
            <w:noWrap w:val="0"/>
            <w:vAlign w:val="center"/>
          </w:tcPr>
          <w:p w14:paraId="2549399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03457AE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0C3E96CA">
            <w:pPr>
              <w:keepNext w:val="0"/>
              <w:keepLines w:val="0"/>
              <w:suppressLineNumbers w:val="0"/>
              <w:spacing w:before="0" w:beforeAutospacing="0" w:after="0" w:afterAutospacing="0" w:line="360" w:lineRule="auto"/>
              <w:ind w:left="0" w:right="0" w:firstLine="422" w:firstLineChars="200"/>
              <w:rPr>
                <w:rFonts w:hint="eastAsia" w:ascii="宋体" w:hAnsi="宋体" w:eastAsia="宋体" w:cs="宋体"/>
                <w:color w:val="auto"/>
                <w:sz w:val="24"/>
                <w:szCs w:val="24"/>
                <w:highlight w:val="none"/>
              </w:rPr>
            </w:pPr>
            <w:r>
              <w:rPr>
                <w:rFonts w:hint="eastAsia" w:ascii="宋体" w:hAnsi="宋体" w:eastAsia="宋体" w:cs="宋体"/>
                <w:b/>
                <w:bCs w:val="0"/>
                <w:color w:val="auto"/>
                <w:kern w:val="0"/>
                <w:sz w:val="21"/>
                <w:szCs w:val="21"/>
                <w:highlight w:val="none"/>
                <w:lang w:val="en-US" w:eastAsia="zh-CN" w:bidi="ar"/>
              </w:rPr>
              <w:t>*10、</w:t>
            </w:r>
            <w:r>
              <w:rPr>
                <w:rFonts w:hint="eastAsia" w:ascii="宋体" w:hAnsi="宋体" w:eastAsia="宋体" w:cs="宋体"/>
                <w:b/>
                <w:bCs/>
                <w:color w:val="auto"/>
                <w:kern w:val="2"/>
                <w:sz w:val="21"/>
                <w:szCs w:val="21"/>
                <w:highlight w:val="none"/>
                <w:lang w:val="en-US" w:eastAsia="zh-CN" w:bidi="ar"/>
              </w:rPr>
              <w:t>投标人应在投标文件中提供书面承诺：</w:t>
            </w:r>
            <w:r>
              <w:rPr>
                <w:rFonts w:hint="eastAsia" w:ascii="宋体" w:hAnsi="宋体" w:eastAsia="宋体" w:cs="宋体"/>
                <w:b/>
                <w:bCs w:val="0"/>
                <w:color w:val="auto"/>
                <w:kern w:val="0"/>
                <w:sz w:val="21"/>
                <w:szCs w:val="21"/>
                <w:highlight w:val="none"/>
                <w:lang w:val="en-US" w:eastAsia="zh-CN" w:bidi="ar"/>
              </w:rPr>
              <w:t>如果中标，因投标人产品给采购单位造成的客诉，若投标人在接到采购单位通知后3个日历日内无法解决客诉，采购单位有权自行解决客诉，并直接于投标人的供货及售后服务保证金中扣除解决客诉所产生的费用。该条款可能造成的成本费用包含在投标人的产品报价中。</w:t>
            </w:r>
          </w:p>
        </w:tc>
      </w:tr>
      <w:tr w14:paraId="4416D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1" w:type="pct"/>
            <w:noWrap w:val="0"/>
            <w:vAlign w:val="center"/>
          </w:tcPr>
          <w:p w14:paraId="235EBE8E">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70</w:t>
            </w:r>
          </w:p>
        </w:tc>
        <w:tc>
          <w:tcPr>
            <w:tcW w:w="396" w:type="pct"/>
            <w:noWrap w:val="0"/>
            <w:vAlign w:val="center"/>
          </w:tcPr>
          <w:p w14:paraId="150DA52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812" w:type="pct"/>
            <w:noWrap w:val="0"/>
            <w:vAlign w:val="center"/>
          </w:tcPr>
          <w:p w14:paraId="0AFF783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440" w:type="pct"/>
            <w:noWrap w:val="0"/>
            <w:vAlign w:val="center"/>
          </w:tcPr>
          <w:p w14:paraId="0D1049C4">
            <w:pPr>
              <w:keepNext w:val="0"/>
              <w:keepLines w:val="0"/>
              <w:suppressLineNumbers w:val="0"/>
              <w:spacing w:before="0" w:beforeAutospacing="0" w:after="0" w:afterAutospacing="0" w:line="360" w:lineRule="auto"/>
              <w:ind w:left="0" w:right="0" w:firstLine="422" w:firstLineChars="200"/>
              <w:rPr>
                <w:rFonts w:hint="eastAsia" w:ascii="宋体" w:hAnsi="宋体" w:eastAsia="宋体" w:cs="宋体"/>
                <w:color w:val="auto"/>
                <w:sz w:val="24"/>
                <w:szCs w:val="24"/>
                <w:highlight w:val="none"/>
              </w:rPr>
            </w:pPr>
            <w:r>
              <w:rPr>
                <w:rFonts w:hint="eastAsia" w:ascii="宋体" w:hAnsi="宋体" w:eastAsia="宋体" w:cs="宋体"/>
                <w:b/>
                <w:bCs w:val="0"/>
                <w:color w:val="auto"/>
                <w:kern w:val="0"/>
                <w:sz w:val="21"/>
                <w:szCs w:val="21"/>
                <w:highlight w:val="none"/>
                <w:lang w:val="en-US" w:eastAsia="zh-CN" w:bidi="ar"/>
              </w:rPr>
              <w:t>*11、</w:t>
            </w:r>
            <w:r>
              <w:rPr>
                <w:rFonts w:hint="eastAsia" w:ascii="宋体" w:hAnsi="宋体" w:eastAsia="宋体" w:cs="宋体"/>
                <w:b/>
                <w:bCs/>
                <w:color w:val="auto"/>
                <w:kern w:val="2"/>
                <w:sz w:val="21"/>
                <w:szCs w:val="21"/>
                <w:highlight w:val="none"/>
                <w:lang w:val="en-US" w:eastAsia="zh-CN" w:bidi="ar"/>
              </w:rPr>
              <w:t>投标人应在投标文件中提供书面承诺：</w:t>
            </w:r>
            <w:r>
              <w:rPr>
                <w:rFonts w:hint="eastAsia" w:ascii="宋体" w:hAnsi="宋体" w:eastAsia="宋体" w:cs="宋体"/>
                <w:b/>
                <w:bCs w:val="0"/>
                <w:color w:val="auto"/>
                <w:kern w:val="0"/>
                <w:sz w:val="21"/>
                <w:szCs w:val="21"/>
                <w:highlight w:val="none"/>
                <w:lang w:val="en-US" w:eastAsia="zh-CN" w:bidi="ar"/>
              </w:rPr>
              <w:t>如若中标，合同期内，若投标人出现投标型号及相关规格参数与所投标品牌的国内或国外官方网站体现该投标型号对应规格参数的网页信息不一致的，采购单位有权单方面解除合同，没收全部供货及售后服务保证金并且有权与第二位中标候选供应商签订合同，同时拒绝中标供应商参与下一年度大宗针式打印机项目的投标。</w:t>
            </w:r>
          </w:p>
        </w:tc>
      </w:tr>
    </w:tbl>
    <w:p w14:paraId="0031A59E">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备注：由于编排顺序混乱而导致投标文件被误读或漏读，该投标人的投标可能被视为无效投标或承担不利的评标结果。</w:t>
      </w:r>
    </w:p>
    <w:p w14:paraId="628FC424">
      <w:pPr>
        <w:spacing w:line="360" w:lineRule="auto"/>
        <w:jc w:val="center"/>
        <w:rPr>
          <w:rFonts w:hint="eastAsia" w:ascii="宋体" w:hAnsi="宋体" w:eastAsia="宋体" w:cs="宋体"/>
          <w:color w:val="auto"/>
          <w:sz w:val="32"/>
          <w:szCs w:val="32"/>
          <w:highlight w:val="none"/>
        </w:rPr>
      </w:pPr>
    </w:p>
    <w:p w14:paraId="20C8DFCE">
      <w:pPr>
        <w:spacing w:line="360" w:lineRule="auto"/>
        <w:jc w:val="center"/>
        <w:rPr>
          <w:rFonts w:hint="eastAsia" w:ascii="宋体" w:hAnsi="宋体" w:eastAsia="宋体" w:cs="宋体"/>
          <w:color w:val="auto"/>
          <w:sz w:val="32"/>
          <w:szCs w:val="32"/>
          <w:highlight w:val="none"/>
        </w:rPr>
      </w:pPr>
    </w:p>
    <w:p w14:paraId="124C880F">
      <w:pPr>
        <w:spacing w:line="360" w:lineRule="auto"/>
        <w:jc w:val="center"/>
        <w:rPr>
          <w:rFonts w:hint="eastAsia" w:ascii="宋体" w:hAnsi="宋体" w:eastAsia="宋体" w:cs="宋体"/>
          <w:color w:val="auto"/>
          <w:sz w:val="32"/>
          <w:szCs w:val="32"/>
          <w:highlight w:val="none"/>
        </w:rPr>
      </w:pPr>
    </w:p>
    <w:p w14:paraId="3D6DB75B">
      <w:pPr>
        <w:spacing w:line="360" w:lineRule="auto"/>
        <w:jc w:val="center"/>
        <w:rPr>
          <w:rFonts w:hint="eastAsia" w:ascii="宋体" w:hAnsi="宋体" w:eastAsia="宋体" w:cs="宋体"/>
          <w:color w:val="auto"/>
          <w:sz w:val="32"/>
          <w:szCs w:val="32"/>
          <w:highlight w:val="none"/>
        </w:rPr>
      </w:pPr>
    </w:p>
    <w:p w14:paraId="7228062E">
      <w:pPr>
        <w:spacing w:line="360" w:lineRule="auto"/>
        <w:jc w:val="center"/>
        <w:rPr>
          <w:rFonts w:hint="eastAsia" w:ascii="宋体" w:hAnsi="宋体" w:eastAsia="宋体" w:cs="宋体"/>
          <w:color w:val="auto"/>
          <w:sz w:val="32"/>
          <w:szCs w:val="32"/>
          <w:highlight w:val="none"/>
        </w:rPr>
      </w:pPr>
    </w:p>
    <w:p w14:paraId="756ED496">
      <w:pPr>
        <w:spacing w:line="360" w:lineRule="auto"/>
        <w:jc w:val="both"/>
        <w:rPr>
          <w:rFonts w:hint="eastAsia" w:ascii="宋体" w:hAnsi="宋体" w:eastAsia="宋体" w:cs="宋体"/>
          <w:color w:val="auto"/>
          <w:sz w:val="32"/>
          <w:szCs w:val="32"/>
          <w:highlight w:val="none"/>
        </w:rPr>
      </w:pPr>
    </w:p>
    <w:p w14:paraId="6F3BC97D">
      <w:pPr>
        <w:spacing w:line="360" w:lineRule="auto"/>
        <w:jc w:val="center"/>
        <w:rPr>
          <w:rFonts w:hint="eastAsia" w:ascii="宋体" w:hAnsi="宋体" w:eastAsia="宋体" w:cs="宋体"/>
          <w:color w:val="auto"/>
          <w:sz w:val="32"/>
          <w:szCs w:val="32"/>
          <w:highlight w:val="none"/>
        </w:rPr>
      </w:pPr>
    </w:p>
    <w:p w14:paraId="126CB82B">
      <w:pP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br w:type="page"/>
      </w:r>
    </w:p>
    <w:p w14:paraId="02D98E61">
      <w:pPr>
        <w:spacing w:line="360" w:lineRule="auto"/>
        <w:jc w:val="center"/>
        <w:rPr>
          <w:rFonts w:hint="eastAsia" w:ascii="宋体" w:hAnsi="宋体" w:eastAsia="宋体" w:cs="宋体"/>
          <w:b/>
          <w:color w:val="auto"/>
          <w:sz w:val="32"/>
          <w:szCs w:val="32"/>
          <w:highlight w:val="none"/>
          <w:u w:val="single"/>
        </w:rPr>
      </w:pPr>
      <w:r>
        <w:rPr>
          <w:rFonts w:hint="eastAsia" w:ascii="宋体" w:hAnsi="宋体" w:eastAsia="宋体" w:cs="宋体"/>
          <w:color w:val="auto"/>
          <w:sz w:val="32"/>
          <w:szCs w:val="32"/>
          <w:highlight w:val="none"/>
        </w:rPr>
        <w:t>投标人须知前附表3：评标方法、评标标准、定标原则</w:t>
      </w:r>
    </w:p>
    <w:tbl>
      <w:tblPr>
        <w:tblStyle w:val="14"/>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0"/>
      </w:tblGrid>
      <w:tr w14:paraId="76A9C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val="0"/>
            <w:vAlign w:val="top"/>
          </w:tcPr>
          <w:p w14:paraId="1F88F8C7">
            <w:pPr>
              <w:pStyle w:val="2"/>
              <w:keepNext w:val="0"/>
              <w:keepLines w:val="0"/>
              <w:numPr>
                <w:ilvl w:val="0"/>
                <w:numId w:val="1"/>
              </w:numPr>
              <w:suppressLineNumbers w:val="0"/>
              <w:snapToGrid w:val="0"/>
              <w:spacing w:before="0" w:beforeAutospacing="0" w:after="0" w:afterAutospacing="0" w:line="360" w:lineRule="auto"/>
              <w:ind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w:t>
            </w:r>
          </w:p>
          <w:p w14:paraId="6A9649D7">
            <w:pPr>
              <w:pStyle w:val="2"/>
              <w:keepNext w:val="0"/>
              <w:keepLines w:val="0"/>
              <w:suppressLineNumbers w:val="0"/>
              <w:snapToGrid w:val="0"/>
              <w:spacing w:before="0" w:beforeAutospacing="0" w:after="0" w:afterAutospacing="0" w:line="360" w:lineRule="auto"/>
              <w:ind w:left="480" w:right="0" w:firstLine="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 xml:space="preserve">综合评分法  □ 最低评标价法  </w:t>
            </w:r>
          </w:p>
        </w:tc>
      </w:tr>
      <w:tr w14:paraId="01486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val="0"/>
            <w:vAlign w:val="top"/>
          </w:tcPr>
          <w:p w14:paraId="655A7565">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二、评标标准：</w:t>
            </w:r>
          </w:p>
          <w:p w14:paraId="303C26F5">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（一）具体的评标标准、权重。</w:t>
            </w:r>
          </w:p>
          <w:p w14:paraId="79544B13">
            <w:pPr>
              <w:pStyle w:val="2"/>
              <w:keepNext w:val="0"/>
              <w:keepLines w:val="0"/>
              <w:suppressLineNumbers w:val="0"/>
              <w:snapToGrid w:val="0"/>
              <w:spacing w:before="0" w:beforeAutospacing="0" w:after="0" w:afterAutospacing="0" w:line="360" w:lineRule="auto"/>
              <w:ind w:left="0" w:right="0"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详见附件</w:t>
            </w:r>
          </w:p>
          <w:p w14:paraId="5DFBFBA3">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（二）推荐中标候选供应商名单。</w:t>
            </w:r>
          </w:p>
          <w:p w14:paraId="51C69759">
            <w:pPr>
              <w:pStyle w:val="2"/>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1、中标候选供应商数量：</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w:t>
            </w:r>
          </w:p>
          <w:p w14:paraId="0CD84A01">
            <w:pPr>
              <w:pStyle w:val="2"/>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2、中标候选供应商排列顺序。经投标文件初审、澄清有关问题、比较与评价评标程序后，按以下办法推荐中标候选供应商名单的排列顺序（请按采购项目的评标方法从以下两项中选择一项打“√”）：</w:t>
            </w:r>
          </w:p>
          <w:p w14:paraId="007A0229">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□采用最低评标价法的，按投标报价由低到高顺序排列。投标报价相同的，按技术指标优劣顺序排列。</w:t>
            </w:r>
          </w:p>
          <w:p w14:paraId="28FF0470">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采用综合评分法的，按评审后得分由高到低顺序排列。得分相同的，按投标报价由低到高顺序排列。得分且投标报价相同的，按技术指标优劣顺序排列。</w:t>
            </w:r>
          </w:p>
          <w:p w14:paraId="200CD775">
            <w:pPr>
              <w:pStyle w:val="2"/>
              <w:keepNext w:val="0"/>
              <w:keepLines w:val="0"/>
              <w:suppressLineNumbers w:val="0"/>
              <w:snapToGrid w:val="0"/>
              <w:spacing w:before="0" w:beforeAutospacing="0" w:after="0" w:afterAutospacing="0" w:line="360" w:lineRule="auto"/>
              <w:ind w:left="0" w:right="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3、综合评分法特别无效投标认定</w:t>
            </w:r>
          </w:p>
          <w:p w14:paraId="185C5FAB">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对技术部分评分，无论是采用负偏离扣分、或不满足不得分、或按指标优劣程度评分的评分标准，投标人技术部分的实际得分少于招标文件设定的技术部分总分50%的认定为无效投标。</w:t>
            </w:r>
          </w:p>
          <w:p w14:paraId="05F1AA4E">
            <w:pPr>
              <w:pStyle w:val="6"/>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4、关于同一品牌产品投标的相关规定</w:t>
            </w:r>
          </w:p>
          <w:p w14:paraId="75C1BEB9">
            <w:pPr>
              <w:pStyle w:val="6"/>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如果有多家投标人以同一品牌的产品参加投标，只能视为一家。</w:t>
            </w:r>
          </w:p>
          <w:p w14:paraId="16B7088C">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"http://lilun.caigou2003.com/recijiedu/2365668.html"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最低评标价法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的采购项目，提供相同品牌产品的不同投标人参加同一合同项下投标的，以其中通过资格审查、符合性审查且报价最低的参加评标；报价相同的，由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"http://lilun.caigou2003.com/recijiedu/2539165.html"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评标委员会</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按照招标文件规定的方式确定一个参加评标的投标人，招标文件未规定的采取随机抽取方式确定，其他投标无效。</w:t>
            </w:r>
          </w:p>
          <w:p w14:paraId="4CB3E6B4">
            <w:pPr>
              <w:keepNext w:val="0"/>
              <w:keepLines w:val="0"/>
              <w:suppressLineNumbers w:val="0"/>
              <w:spacing w:before="0" w:beforeAutospacing="0" w:after="0" w:afterAutospacing="0" w:line="360" w:lineRule="auto"/>
              <w:ind w:left="0" w:right="0" w:firstLine="3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使用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"http://lilun.caigou2003.com/recijiedu/2365667.html"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综合评分法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的采购项目，提供相同品牌产品且通过资格审查、符合性审查的不同投标人参加同一合同项下投标的，按一家投标人计算，评审后得分最高的同品牌投标人获得中标供应商推荐资格；评审得分相同的，由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委托评标委员会按照招标文件规定的方式确定一个投标人获得中标供应商推荐资格，招标文件未规定的采取随机抽取方式确定，其他同品牌投标人不作为中标候选人。</w:t>
            </w:r>
          </w:p>
          <w:p w14:paraId="684448C2">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非单一产品采购项目，</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应当根据采购项目技术构成、产品价格比重等合理确定核心产品，并在招标文件中载明。多家投标人提供的核心产品品牌相同的，按前两款规定处理。</w:t>
            </w:r>
          </w:p>
        </w:tc>
      </w:tr>
      <w:tr w14:paraId="103B0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00" w:type="dxa"/>
            <w:tcBorders>
              <w:top w:val="single" w:color="auto" w:sz="4" w:space="0"/>
              <w:left w:val="single" w:color="auto" w:sz="4" w:space="0"/>
              <w:bottom w:val="single" w:color="auto" w:sz="4" w:space="0"/>
              <w:right w:val="single" w:color="auto" w:sz="4" w:space="0"/>
            </w:tcBorders>
            <w:noWrap w:val="0"/>
            <w:vAlign w:val="top"/>
          </w:tcPr>
          <w:p w14:paraId="2EE02ED8">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三、定标原则（确定中标供应商数量：</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w:t>
            </w:r>
          </w:p>
          <w:p w14:paraId="76A0D5E1">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委托招标代理机构招标，在收到评标报告后五个工作日内，按照评标报告中推荐的中标候选供应商顺序确定中标供应商。</w:t>
            </w:r>
          </w:p>
          <w:p w14:paraId="6CFFA681">
            <w:pPr>
              <w:pStyle w:val="2"/>
              <w:keepNext w:val="0"/>
              <w:keepLines w:val="0"/>
              <w:suppressLineNumbers w:val="0"/>
              <w:snapToGrid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委托招标代理机构招标，授权评标委员会直接确定中标供应商。</w:t>
            </w:r>
          </w:p>
          <w:p w14:paraId="31CB2D8F">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自行组织招标，在评标结束后五个工作日内确定中标供应商。</w:t>
            </w:r>
          </w:p>
        </w:tc>
      </w:tr>
    </w:tbl>
    <w:p w14:paraId="54DAB8C8">
      <w:pPr>
        <w:pStyle w:val="2"/>
        <w:snapToGrid w:val="0"/>
        <w:spacing w:line="360" w:lineRule="auto"/>
        <w:ind w:firstLine="0"/>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single"/>
        </w:rPr>
        <w:t>注：以联合体形式投标的，只能以联合体其中一方具备的条件作为评标依据。投标人应在投标文件中明确以联合体的确定一方的条件参与商务评分，投标人未明确的，则该投标人的该项商务评分按最低分处理。</w:t>
      </w:r>
    </w:p>
    <w:p w14:paraId="001B60C4">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642E1F5D">
      <w:pPr>
        <w:tabs>
          <w:tab w:val="left" w:pos="-1080"/>
          <w:tab w:val="left" w:pos="180"/>
          <w:tab w:val="left" w:pos="1080"/>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附件：评标标准、权重</w:t>
      </w:r>
    </w:p>
    <w:p w14:paraId="4E1A8904">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（一）技术评分(F1)：按</w:t>
      </w:r>
      <w:r>
        <w:rPr>
          <w:rFonts w:hint="eastAsia" w:ascii="宋体" w:hAnsi="宋体" w:cs="宋体"/>
          <w:color w:val="auto"/>
          <w:sz w:val="24"/>
          <w:szCs w:val="24"/>
          <w:highlight w:val="none"/>
          <w:lang w:val="en-US" w:eastAsia="zh-CN"/>
        </w:rPr>
        <w:t>45</w:t>
      </w:r>
      <w:r>
        <w:rPr>
          <w:rFonts w:hint="eastAsia" w:ascii="宋体" w:hAnsi="宋体" w:eastAsia="宋体" w:cs="宋体"/>
          <w:color w:val="auto"/>
          <w:sz w:val="24"/>
          <w:szCs w:val="24"/>
          <w:highlight w:val="none"/>
        </w:rPr>
        <w:t>分评分法，技术评分考虑下列因素：</w:t>
      </w:r>
    </w:p>
    <w:tbl>
      <w:tblPr>
        <w:tblStyle w:val="14"/>
        <w:tblW w:w="0" w:type="auto"/>
        <w:tblInd w:w="0" w:type="dxa"/>
        <w:tblLayout w:type="fixed"/>
        <w:tblCellMar>
          <w:top w:w="0" w:type="dxa"/>
          <w:left w:w="108" w:type="dxa"/>
          <w:bottom w:w="0" w:type="dxa"/>
          <w:right w:w="108" w:type="dxa"/>
        </w:tblCellMar>
      </w:tblPr>
      <w:tblGrid>
        <w:gridCol w:w="883"/>
        <w:gridCol w:w="6838"/>
        <w:gridCol w:w="898"/>
      </w:tblGrid>
      <w:tr w14:paraId="3FCCD63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5F1B356">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460E1B53">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35DB9069">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w:t>
            </w:r>
          </w:p>
          <w:p w14:paraId="5AB61522">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分值</w:t>
            </w:r>
          </w:p>
        </w:tc>
      </w:tr>
      <w:tr w14:paraId="55DED491">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482795E">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1</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1004AACA">
            <w:pPr>
              <w:keepNext w:val="0"/>
              <w:keepLines w:val="0"/>
              <w:widowControl/>
              <w:suppressLineNumbers w:val="0"/>
              <w:spacing w:before="0" w:beforeAutospacing="0" w:after="0" w:afterAutospacing="0" w:line="360" w:lineRule="auto"/>
              <w:ind w:left="0" w:right="0"/>
              <w:jc w:val="left"/>
              <w:textAlignment w:val="auto"/>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根据投标设备中品目号1-1的列宽进行评价</w:t>
            </w:r>
            <w:r>
              <w:rPr>
                <w:rFonts w:hint="default" w:ascii="宋体" w:hAnsi="宋体" w:cs="宋体"/>
                <w:i w:val="0"/>
                <w:iCs w:val="0"/>
                <w:color w:val="auto"/>
                <w:kern w:val="0"/>
                <w:sz w:val="24"/>
                <w:szCs w:val="24"/>
                <w:highlight w:val="none"/>
                <w:u w:val="none"/>
                <w:lang w:eastAsia="zh-CN" w:bidi="ar"/>
              </w:rPr>
              <w:t>:</w:t>
            </w:r>
            <w:r>
              <w:rPr>
                <w:rFonts w:hint="eastAsia" w:ascii="宋体" w:hAnsi="宋体" w:eastAsia="宋体" w:cs="宋体"/>
                <w:i w:val="0"/>
                <w:iCs w:val="0"/>
                <w:color w:val="auto"/>
                <w:kern w:val="0"/>
                <w:sz w:val="24"/>
                <w:szCs w:val="24"/>
                <w:highlight w:val="none"/>
                <w:u w:val="none"/>
                <w:lang w:val="en-US" w:eastAsia="zh-CN" w:bidi="ar"/>
              </w:rPr>
              <w:t>根据各个投标人所投标设备的列宽进行评分。列宽≥</w:t>
            </w:r>
            <w:r>
              <w:rPr>
                <w:rFonts w:hint="eastAsia" w:ascii="宋体" w:hAnsi="宋体" w:eastAsia="宋体" w:cs="宋体"/>
                <w:color w:val="auto"/>
                <w:kern w:val="0"/>
                <w:sz w:val="24"/>
                <w:szCs w:val="24"/>
                <w:highlight w:val="none"/>
                <w:lang w:val="en-US" w:eastAsia="zh-CN" w:bidi="ar"/>
              </w:rPr>
              <w:t>82</w:t>
            </w:r>
            <w:r>
              <w:rPr>
                <w:rFonts w:hint="default" w:ascii="宋体" w:hAnsi="宋体" w:eastAsia="宋体" w:cs="宋体"/>
                <w:color w:val="auto"/>
                <w:kern w:val="0"/>
                <w:sz w:val="24"/>
                <w:szCs w:val="24"/>
                <w:highlight w:val="none"/>
                <w:lang w:val="en-US" w:eastAsia="zh-CN" w:bidi="ar"/>
              </w:rPr>
              <w:t>列秒得3分，列宽&lt;</w:t>
            </w:r>
            <w:r>
              <w:rPr>
                <w:rFonts w:hint="eastAsia" w:ascii="宋体" w:hAnsi="宋体" w:eastAsia="宋体" w:cs="宋体"/>
                <w:color w:val="auto"/>
                <w:kern w:val="0"/>
                <w:sz w:val="24"/>
                <w:szCs w:val="24"/>
                <w:highlight w:val="none"/>
                <w:lang w:val="en-US" w:eastAsia="zh-CN" w:bidi="ar"/>
              </w:rPr>
              <w:t>82</w:t>
            </w:r>
            <w:r>
              <w:rPr>
                <w:rFonts w:hint="default" w:ascii="宋体" w:hAnsi="宋体" w:eastAsia="宋体" w:cs="宋体"/>
                <w:color w:val="auto"/>
                <w:kern w:val="0"/>
                <w:sz w:val="24"/>
                <w:szCs w:val="24"/>
                <w:highlight w:val="none"/>
                <w:lang w:val="en-US" w:eastAsia="zh-CN" w:bidi="ar"/>
              </w:rPr>
              <w:t>列得2.5分。（投标人需提供加盖投标人公章的产品彩页</w:t>
            </w:r>
            <w:r>
              <w:rPr>
                <w:rFonts w:hint="eastAsia" w:ascii="宋体" w:hAnsi="宋体" w:eastAsia="宋体" w:cs="宋体"/>
                <w:color w:val="auto"/>
                <w:kern w:val="0"/>
                <w:sz w:val="24"/>
                <w:szCs w:val="24"/>
                <w:highlight w:val="none"/>
                <w:lang w:val="en-US" w:eastAsia="zh-CN" w:bidi="ar"/>
              </w:rPr>
              <w:t>复印</w:t>
            </w:r>
            <w:r>
              <w:rPr>
                <w:rFonts w:hint="default" w:ascii="宋体" w:hAnsi="宋体" w:eastAsia="宋体" w:cs="宋体"/>
                <w:color w:val="auto"/>
                <w:kern w:val="0"/>
                <w:sz w:val="24"/>
                <w:szCs w:val="24"/>
                <w:highlight w:val="none"/>
                <w:lang w:val="en-US" w:eastAsia="zh-CN" w:bidi="ar"/>
              </w:rPr>
              <w:t>件，以彩页上的列宽参数为准，投标人应保证彩页所注明的相关技术指标与投标品牌产品制造商国内外官方网站的相关信息一致）若投标人为联合体投标的，联合体中的其中一方盖章即可。</w:t>
            </w:r>
            <w:r>
              <w:rPr>
                <w:rFonts w:hint="eastAsia" w:ascii="宋体" w:hAnsi="宋体" w:eastAsia="宋体" w:cs="宋体"/>
                <w:color w:val="auto"/>
                <w:kern w:val="0"/>
                <w:sz w:val="24"/>
                <w:szCs w:val="24"/>
                <w:highlight w:val="none"/>
                <w:lang w:val="en-US" w:eastAsia="zh-CN" w:bidi="ar"/>
              </w:rPr>
              <w:t>未按要求提供的不得分。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7446D9CE">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3</w:t>
            </w:r>
          </w:p>
        </w:tc>
      </w:tr>
      <w:tr w14:paraId="59A58D4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FBBBC8E">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2</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01C6B35E">
            <w:pPr>
              <w:keepNext w:val="0"/>
              <w:keepLines w:val="0"/>
              <w:widowControl/>
              <w:suppressLineNumbers w:val="0"/>
              <w:spacing w:before="0" w:beforeAutospacing="0" w:after="0" w:afterAutospacing="0" w:line="360" w:lineRule="auto"/>
              <w:ind w:left="0" w:right="0"/>
              <w:jc w:val="left"/>
              <w:textAlignment w:val="auto"/>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根据投标设备中品目号1-2的列宽进行评价</w:t>
            </w:r>
            <w:r>
              <w:rPr>
                <w:rFonts w:hint="default" w:ascii="宋体" w:hAnsi="宋体" w:cs="宋体"/>
                <w:i w:val="0"/>
                <w:iCs w:val="0"/>
                <w:color w:val="auto"/>
                <w:kern w:val="0"/>
                <w:sz w:val="24"/>
                <w:szCs w:val="24"/>
                <w:highlight w:val="none"/>
                <w:u w:val="none"/>
                <w:lang w:eastAsia="zh-CN" w:bidi="ar"/>
              </w:rPr>
              <w:t>:</w:t>
            </w:r>
            <w:r>
              <w:rPr>
                <w:rFonts w:hint="eastAsia" w:ascii="宋体" w:hAnsi="宋体" w:eastAsia="宋体" w:cs="宋体"/>
                <w:i w:val="0"/>
                <w:iCs w:val="0"/>
                <w:color w:val="auto"/>
                <w:kern w:val="0"/>
                <w:sz w:val="24"/>
                <w:szCs w:val="24"/>
                <w:highlight w:val="none"/>
                <w:u w:val="none"/>
                <w:lang w:val="en-US" w:eastAsia="zh-CN" w:bidi="ar"/>
              </w:rPr>
              <w:t>根据各个投标人所投标设备的列宽进行评分。列宽≥</w:t>
            </w:r>
            <w:r>
              <w:rPr>
                <w:rFonts w:hint="eastAsia" w:ascii="宋体" w:hAnsi="宋体" w:eastAsia="宋体" w:cs="宋体"/>
                <w:color w:val="auto"/>
                <w:kern w:val="0"/>
                <w:sz w:val="24"/>
                <w:szCs w:val="24"/>
                <w:highlight w:val="none"/>
                <w:lang w:val="en-US" w:eastAsia="zh-CN" w:bidi="ar"/>
              </w:rPr>
              <w:t>110</w:t>
            </w:r>
            <w:r>
              <w:rPr>
                <w:rFonts w:hint="default" w:ascii="宋体" w:hAnsi="宋体" w:eastAsia="宋体" w:cs="宋体"/>
                <w:color w:val="auto"/>
                <w:kern w:val="0"/>
                <w:sz w:val="24"/>
                <w:szCs w:val="24"/>
                <w:highlight w:val="none"/>
                <w:lang w:val="en-US" w:eastAsia="zh-CN" w:bidi="ar"/>
              </w:rPr>
              <w:t>列秒得3分，列宽&lt;</w:t>
            </w:r>
            <w:r>
              <w:rPr>
                <w:rFonts w:hint="eastAsia" w:ascii="宋体" w:hAnsi="宋体" w:eastAsia="宋体" w:cs="宋体"/>
                <w:color w:val="auto"/>
                <w:kern w:val="0"/>
                <w:sz w:val="24"/>
                <w:szCs w:val="24"/>
                <w:highlight w:val="none"/>
                <w:lang w:val="en-US" w:eastAsia="zh-CN" w:bidi="ar"/>
              </w:rPr>
              <w:t>110</w:t>
            </w:r>
            <w:r>
              <w:rPr>
                <w:rFonts w:hint="default" w:ascii="宋体" w:hAnsi="宋体" w:eastAsia="宋体" w:cs="宋体"/>
                <w:color w:val="auto"/>
                <w:kern w:val="0"/>
                <w:sz w:val="24"/>
                <w:szCs w:val="24"/>
                <w:highlight w:val="none"/>
                <w:lang w:val="en-US" w:eastAsia="zh-CN" w:bidi="ar"/>
              </w:rPr>
              <w:t>列得2.5分。（投标人需提供加盖投标人公章的产品彩页</w:t>
            </w:r>
            <w:r>
              <w:rPr>
                <w:rFonts w:hint="eastAsia" w:ascii="宋体" w:hAnsi="宋体" w:eastAsia="宋体" w:cs="宋体"/>
                <w:color w:val="auto"/>
                <w:kern w:val="0"/>
                <w:sz w:val="24"/>
                <w:szCs w:val="24"/>
                <w:highlight w:val="none"/>
                <w:lang w:val="en-US" w:eastAsia="zh-CN" w:bidi="ar"/>
              </w:rPr>
              <w:t>复印</w:t>
            </w:r>
            <w:r>
              <w:rPr>
                <w:rFonts w:hint="default" w:ascii="宋体" w:hAnsi="宋体" w:eastAsia="宋体" w:cs="宋体"/>
                <w:color w:val="auto"/>
                <w:kern w:val="0"/>
                <w:sz w:val="24"/>
                <w:szCs w:val="24"/>
                <w:highlight w:val="none"/>
                <w:lang w:val="en-US" w:eastAsia="zh-CN" w:bidi="ar"/>
              </w:rPr>
              <w:t>件，以彩页上的列宽参数为准，投标人应保证彩页所注明的相关技术指标与投标品牌产品制造商国内外官方网站的相关信息一致）若投标人为联合体投标的，联合体中的其中一方盖章即可。</w:t>
            </w:r>
            <w:r>
              <w:rPr>
                <w:rFonts w:hint="eastAsia" w:ascii="宋体" w:hAnsi="宋体" w:eastAsia="宋体" w:cs="宋体"/>
                <w:color w:val="auto"/>
                <w:kern w:val="0"/>
                <w:sz w:val="24"/>
                <w:szCs w:val="24"/>
                <w:highlight w:val="none"/>
                <w:lang w:val="en-US" w:eastAsia="zh-CN" w:bidi="ar"/>
              </w:rPr>
              <w:t>未按要求提供的不得分。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1E6F7532">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3</w:t>
            </w:r>
          </w:p>
        </w:tc>
      </w:tr>
      <w:tr w14:paraId="0E0BCFA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0F7D7D3">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3</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730EFA8E">
            <w:pPr>
              <w:keepNext w:val="0"/>
              <w:keepLines w:val="0"/>
              <w:widowControl/>
              <w:suppressLineNumbers w:val="0"/>
              <w:spacing w:before="0" w:beforeAutospacing="0" w:after="0" w:afterAutospacing="0" w:line="360" w:lineRule="auto"/>
              <w:ind w:left="0" w:right="0"/>
              <w:jc w:val="left"/>
              <w:textAlignment w:val="auto"/>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根据投标设备中品目号1-3的列宽进行评价</w:t>
            </w:r>
            <w:r>
              <w:rPr>
                <w:rFonts w:hint="default" w:ascii="宋体" w:hAnsi="宋体" w:cs="宋体"/>
                <w:i w:val="0"/>
                <w:iCs w:val="0"/>
                <w:color w:val="auto"/>
                <w:kern w:val="0"/>
                <w:sz w:val="24"/>
                <w:szCs w:val="24"/>
                <w:highlight w:val="none"/>
                <w:u w:val="none"/>
                <w:lang w:eastAsia="zh-CN" w:bidi="ar"/>
              </w:rPr>
              <w:t>:</w:t>
            </w:r>
            <w:r>
              <w:rPr>
                <w:rFonts w:hint="eastAsia" w:ascii="宋体" w:hAnsi="宋体" w:eastAsia="宋体" w:cs="宋体"/>
                <w:i w:val="0"/>
                <w:iCs w:val="0"/>
                <w:color w:val="auto"/>
                <w:kern w:val="0"/>
                <w:sz w:val="24"/>
                <w:szCs w:val="24"/>
                <w:highlight w:val="none"/>
                <w:u w:val="none"/>
                <w:lang w:val="en-US" w:eastAsia="zh-CN" w:bidi="ar"/>
              </w:rPr>
              <w:t>根据各个投标人所投标设备的列宽进行评分。列宽≥</w:t>
            </w:r>
            <w:r>
              <w:rPr>
                <w:rFonts w:hint="eastAsia" w:ascii="宋体" w:hAnsi="宋体" w:eastAsia="宋体" w:cs="宋体"/>
                <w:color w:val="auto"/>
                <w:kern w:val="0"/>
                <w:sz w:val="24"/>
                <w:szCs w:val="24"/>
                <w:highlight w:val="none"/>
                <w:lang w:val="en-US" w:eastAsia="zh-CN" w:bidi="ar"/>
              </w:rPr>
              <w:t>110</w:t>
            </w:r>
            <w:r>
              <w:rPr>
                <w:rFonts w:hint="default" w:ascii="宋体" w:hAnsi="宋体" w:eastAsia="宋体" w:cs="宋体"/>
                <w:color w:val="auto"/>
                <w:kern w:val="0"/>
                <w:sz w:val="24"/>
                <w:szCs w:val="24"/>
                <w:highlight w:val="none"/>
                <w:lang w:val="en-US" w:eastAsia="zh-CN" w:bidi="ar"/>
              </w:rPr>
              <w:t>列秒得3分，列宽&lt;</w:t>
            </w:r>
            <w:r>
              <w:rPr>
                <w:rFonts w:hint="eastAsia" w:ascii="宋体" w:hAnsi="宋体" w:eastAsia="宋体" w:cs="宋体"/>
                <w:color w:val="auto"/>
                <w:kern w:val="0"/>
                <w:sz w:val="24"/>
                <w:szCs w:val="24"/>
                <w:highlight w:val="none"/>
                <w:lang w:val="en-US" w:eastAsia="zh-CN" w:bidi="ar"/>
              </w:rPr>
              <w:t>110</w:t>
            </w:r>
            <w:r>
              <w:rPr>
                <w:rFonts w:hint="default" w:ascii="宋体" w:hAnsi="宋体" w:eastAsia="宋体" w:cs="宋体"/>
                <w:color w:val="auto"/>
                <w:kern w:val="0"/>
                <w:sz w:val="24"/>
                <w:szCs w:val="24"/>
                <w:highlight w:val="none"/>
                <w:lang w:val="en-US" w:eastAsia="zh-CN" w:bidi="ar"/>
              </w:rPr>
              <w:t>列得2.5分。（投标人需提供加盖投标人公章的产品彩页</w:t>
            </w:r>
            <w:r>
              <w:rPr>
                <w:rFonts w:hint="eastAsia" w:ascii="宋体" w:hAnsi="宋体" w:eastAsia="宋体" w:cs="宋体"/>
                <w:color w:val="auto"/>
                <w:kern w:val="0"/>
                <w:sz w:val="24"/>
                <w:szCs w:val="24"/>
                <w:highlight w:val="none"/>
                <w:lang w:val="en-US" w:eastAsia="zh-CN" w:bidi="ar"/>
              </w:rPr>
              <w:t>复印</w:t>
            </w:r>
            <w:r>
              <w:rPr>
                <w:rFonts w:hint="default" w:ascii="宋体" w:hAnsi="宋体" w:eastAsia="宋体" w:cs="宋体"/>
                <w:color w:val="auto"/>
                <w:kern w:val="0"/>
                <w:sz w:val="24"/>
                <w:szCs w:val="24"/>
                <w:highlight w:val="none"/>
                <w:lang w:val="en-US" w:eastAsia="zh-CN" w:bidi="ar"/>
              </w:rPr>
              <w:t>件，以彩页上的列宽参数为准，投标人应保证彩页所注明的相关技术指标与投标品牌产品制造商国内外官方网站的相关信息一致）若投标人为联合体投标的，联合体中的其中一方盖章即可。</w:t>
            </w:r>
            <w:r>
              <w:rPr>
                <w:rFonts w:hint="eastAsia" w:ascii="宋体" w:hAnsi="宋体" w:eastAsia="宋体" w:cs="宋体"/>
                <w:color w:val="auto"/>
                <w:kern w:val="0"/>
                <w:sz w:val="24"/>
                <w:szCs w:val="24"/>
                <w:highlight w:val="none"/>
                <w:lang w:val="en-US" w:eastAsia="zh-CN" w:bidi="ar"/>
              </w:rPr>
              <w:t>未按要求提供的不得分。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77DFAFDE">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3</w:t>
            </w:r>
          </w:p>
        </w:tc>
      </w:tr>
      <w:tr w14:paraId="7B21593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3352651">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4</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1947A4D0">
            <w:pPr>
              <w:keepNext w:val="0"/>
              <w:keepLines w:val="0"/>
              <w:widowControl/>
              <w:suppressLineNumbers w:val="0"/>
              <w:spacing w:before="0" w:beforeAutospacing="0" w:after="0" w:afterAutospacing="0" w:line="360" w:lineRule="auto"/>
              <w:ind w:left="0" w:right="0"/>
              <w:jc w:val="left"/>
              <w:textAlignment w:val="auto"/>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根据投标设备中品目号1-1的中文超高速打印速度进行评价</w:t>
            </w:r>
            <w:r>
              <w:rPr>
                <w:rFonts w:hint="default" w:ascii="宋体" w:hAnsi="宋体" w:cs="宋体"/>
                <w:i w:val="0"/>
                <w:iCs w:val="0"/>
                <w:color w:val="auto"/>
                <w:kern w:val="0"/>
                <w:sz w:val="24"/>
                <w:szCs w:val="24"/>
                <w:highlight w:val="none"/>
                <w:u w:val="none"/>
                <w:lang w:eastAsia="zh-CN" w:bidi="ar"/>
              </w:rPr>
              <w:t>:</w:t>
            </w:r>
            <w:r>
              <w:rPr>
                <w:rFonts w:hint="eastAsia" w:ascii="宋体" w:hAnsi="宋体" w:eastAsia="宋体" w:cs="宋体"/>
                <w:i w:val="0"/>
                <w:iCs w:val="0"/>
                <w:color w:val="auto"/>
                <w:kern w:val="0"/>
                <w:sz w:val="24"/>
                <w:szCs w:val="24"/>
                <w:highlight w:val="none"/>
                <w:u w:val="none"/>
                <w:lang w:val="en-US" w:eastAsia="zh-CN" w:bidi="ar"/>
              </w:rPr>
              <w:t>根据各个投标人所投标设备的中文超高速打印速度进行评分。中文超高速打印速度≥</w:t>
            </w:r>
            <w:r>
              <w:rPr>
                <w:rFonts w:hint="eastAsia" w:ascii="宋体" w:hAnsi="宋体" w:eastAsia="宋体" w:cs="宋体"/>
                <w:color w:val="auto"/>
                <w:kern w:val="0"/>
                <w:sz w:val="24"/>
                <w:szCs w:val="24"/>
                <w:highlight w:val="none"/>
                <w:lang w:val="en-US" w:eastAsia="zh-CN" w:bidi="ar"/>
              </w:rPr>
              <w:t>180</w:t>
            </w:r>
            <w:r>
              <w:rPr>
                <w:rFonts w:hint="default" w:ascii="宋体" w:hAnsi="宋体" w:eastAsia="宋体" w:cs="宋体"/>
                <w:color w:val="auto"/>
                <w:kern w:val="0"/>
                <w:sz w:val="24"/>
                <w:szCs w:val="24"/>
                <w:highlight w:val="none"/>
                <w:lang w:val="en-US" w:eastAsia="zh-CN" w:bidi="ar"/>
              </w:rPr>
              <w:t>汉字/秒得3分，中文超高速打印速度&lt;</w:t>
            </w:r>
            <w:r>
              <w:rPr>
                <w:rFonts w:hint="eastAsia" w:ascii="宋体" w:hAnsi="宋体" w:eastAsia="宋体" w:cs="宋体"/>
                <w:color w:val="auto"/>
                <w:kern w:val="0"/>
                <w:sz w:val="24"/>
                <w:szCs w:val="24"/>
                <w:highlight w:val="none"/>
                <w:lang w:val="en-US" w:eastAsia="zh-CN" w:bidi="ar"/>
              </w:rPr>
              <w:t>180</w:t>
            </w:r>
            <w:r>
              <w:rPr>
                <w:rFonts w:hint="default" w:ascii="宋体" w:hAnsi="宋体" w:eastAsia="宋体" w:cs="宋体"/>
                <w:color w:val="auto"/>
                <w:kern w:val="0"/>
                <w:sz w:val="24"/>
                <w:szCs w:val="24"/>
                <w:highlight w:val="none"/>
                <w:lang w:val="en-US" w:eastAsia="zh-CN" w:bidi="ar"/>
              </w:rPr>
              <w:t>汉字/秒得1.5分。（投标人需提供加盖投标人公章的产品彩页</w:t>
            </w:r>
            <w:r>
              <w:rPr>
                <w:rFonts w:hint="eastAsia" w:ascii="宋体" w:hAnsi="宋体" w:eastAsia="宋体" w:cs="宋体"/>
                <w:color w:val="auto"/>
                <w:kern w:val="0"/>
                <w:sz w:val="24"/>
                <w:szCs w:val="24"/>
                <w:highlight w:val="none"/>
                <w:lang w:val="en-US" w:eastAsia="zh-CN" w:bidi="ar"/>
              </w:rPr>
              <w:t>复印</w:t>
            </w:r>
            <w:r>
              <w:rPr>
                <w:rFonts w:hint="default" w:ascii="宋体" w:hAnsi="宋体" w:eastAsia="宋体" w:cs="宋体"/>
                <w:color w:val="auto"/>
                <w:kern w:val="0"/>
                <w:sz w:val="24"/>
                <w:szCs w:val="24"/>
                <w:highlight w:val="none"/>
                <w:lang w:val="en-US" w:eastAsia="zh-CN" w:bidi="ar"/>
              </w:rPr>
              <w:t>件，以彩页上的中文超高速打印速度参数为准，投标人应保证彩页所注明的相关技术指标与投标品牌产品制造商国内外官方网站的相关信息一致）若投标人为联合体投标的，联合体中的其中一方盖章即可。</w:t>
            </w:r>
            <w:r>
              <w:rPr>
                <w:rFonts w:hint="eastAsia" w:ascii="宋体" w:hAnsi="宋体" w:eastAsia="宋体" w:cs="宋体"/>
                <w:color w:val="auto"/>
                <w:kern w:val="0"/>
                <w:sz w:val="24"/>
                <w:szCs w:val="24"/>
                <w:highlight w:val="none"/>
                <w:lang w:val="en-US" w:eastAsia="zh-CN" w:bidi="ar"/>
              </w:rPr>
              <w:t>未按要求提供的不得分。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535920B4">
            <w:pPr>
              <w:keepNext w:val="0"/>
              <w:keepLines w:val="0"/>
              <w:suppressLineNumbers w:val="0"/>
              <w:tabs>
                <w:tab w:val="left" w:pos="-1080"/>
                <w:tab w:val="left" w:pos="180"/>
                <w:tab w:val="left" w:pos="1080"/>
              </w:tabs>
              <w:spacing w:before="0" w:beforeAutospacing="0" w:after="0" w:afterAutospacing="0" w:line="360" w:lineRule="auto"/>
              <w:ind w:left="0" w:right="0"/>
              <w:jc w:val="center"/>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3</w:t>
            </w:r>
          </w:p>
        </w:tc>
      </w:tr>
      <w:tr w14:paraId="51E6768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E9CDE44">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5</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11338459">
            <w:pPr>
              <w:keepNext w:val="0"/>
              <w:keepLines w:val="0"/>
              <w:widowControl/>
              <w:suppressLineNumbers w:val="0"/>
              <w:spacing w:before="0" w:beforeAutospacing="0" w:after="0" w:afterAutospacing="0" w:line="360" w:lineRule="auto"/>
              <w:ind w:left="0" w:right="0"/>
              <w:jc w:val="left"/>
              <w:textAlignment w:val="auto"/>
              <w:rPr>
                <w:rFonts w:hint="eastAsia" w:ascii="宋体" w:hAnsi="宋体" w:eastAsia="宋体" w:cs="宋体"/>
                <w:i w:val="0"/>
                <w:iCs w:val="0"/>
                <w:color w:val="auto"/>
                <w:kern w:val="0"/>
                <w:sz w:val="24"/>
                <w:szCs w:val="24"/>
                <w:highlight w:val="none"/>
                <w:u w:val="none"/>
                <w:lang w:val="en-US" w:eastAsia="zh-CN" w:bidi="ar"/>
              </w:rPr>
            </w:pPr>
            <w:r>
              <w:rPr>
                <w:rFonts w:hint="default" w:ascii="宋体" w:hAnsi="宋体" w:eastAsia="宋体" w:cs="宋体"/>
                <w:color w:val="auto"/>
                <w:kern w:val="0"/>
                <w:sz w:val="24"/>
                <w:szCs w:val="24"/>
                <w:highlight w:val="none"/>
                <w:lang w:val="en-US" w:eastAsia="zh-CN" w:bidi="ar"/>
              </w:rPr>
              <w:t>根据投标设备中品目号1-2的中文超高速打印速度进行评价</w:t>
            </w:r>
            <w:r>
              <w:rPr>
                <w:rFonts w:hint="default" w:ascii="宋体" w:hAnsi="宋体" w:cs="宋体"/>
                <w:color w:val="auto"/>
                <w:kern w:val="0"/>
                <w:sz w:val="24"/>
                <w:szCs w:val="24"/>
                <w:highlight w:val="none"/>
                <w:lang w:eastAsia="zh-CN" w:bidi="ar"/>
              </w:rPr>
              <w:t>:</w:t>
            </w:r>
            <w:r>
              <w:rPr>
                <w:rFonts w:hint="default" w:ascii="宋体" w:hAnsi="宋体" w:eastAsia="宋体" w:cs="宋体"/>
                <w:color w:val="auto"/>
                <w:kern w:val="0"/>
                <w:sz w:val="24"/>
                <w:szCs w:val="24"/>
                <w:highlight w:val="none"/>
                <w:lang w:val="en-US" w:eastAsia="zh-CN" w:bidi="ar"/>
              </w:rPr>
              <w:t>根据各个投标人所投标设备的中文超高速打印速度进行评分。中文超高速打印速度≥</w:t>
            </w:r>
            <w:r>
              <w:rPr>
                <w:rFonts w:hint="eastAsia" w:ascii="宋体" w:hAnsi="宋体" w:eastAsia="宋体" w:cs="宋体"/>
                <w:color w:val="auto"/>
                <w:kern w:val="0"/>
                <w:sz w:val="24"/>
                <w:szCs w:val="24"/>
                <w:highlight w:val="none"/>
                <w:lang w:val="en-US" w:eastAsia="zh-CN" w:bidi="ar"/>
              </w:rPr>
              <w:t>300</w:t>
            </w:r>
            <w:r>
              <w:rPr>
                <w:rFonts w:hint="default" w:ascii="宋体" w:hAnsi="宋体" w:eastAsia="宋体" w:cs="宋体"/>
                <w:color w:val="auto"/>
                <w:kern w:val="0"/>
                <w:sz w:val="24"/>
                <w:szCs w:val="24"/>
                <w:highlight w:val="none"/>
                <w:lang w:val="en-US" w:eastAsia="zh-CN" w:bidi="ar"/>
              </w:rPr>
              <w:t>汉字/秒得3分，中文超高速打印速度&lt;</w:t>
            </w:r>
            <w:r>
              <w:rPr>
                <w:rFonts w:hint="eastAsia" w:ascii="宋体" w:hAnsi="宋体" w:eastAsia="宋体" w:cs="宋体"/>
                <w:color w:val="auto"/>
                <w:kern w:val="0"/>
                <w:sz w:val="24"/>
                <w:szCs w:val="24"/>
                <w:highlight w:val="none"/>
                <w:lang w:val="en-US" w:eastAsia="zh-CN" w:bidi="ar"/>
              </w:rPr>
              <w:t>300</w:t>
            </w:r>
            <w:r>
              <w:rPr>
                <w:rFonts w:hint="default" w:ascii="宋体" w:hAnsi="宋体" w:eastAsia="宋体" w:cs="宋体"/>
                <w:color w:val="auto"/>
                <w:kern w:val="0"/>
                <w:sz w:val="24"/>
                <w:szCs w:val="24"/>
                <w:highlight w:val="none"/>
                <w:lang w:val="en-US" w:eastAsia="zh-CN" w:bidi="ar"/>
              </w:rPr>
              <w:t>汉字/秒得1.5分。（投标人需提供加盖投标人公章的产品彩页</w:t>
            </w:r>
            <w:r>
              <w:rPr>
                <w:rFonts w:hint="eastAsia" w:ascii="宋体" w:hAnsi="宋体" w:eastAsia="宋体" w:cs="宋体"/>
                <w:color w:val="auto"/>
                <w:kern w:val="0"/>
                <w:sz w:val="24"/>
                <w:szCs w:val="24"/>
                <w:highlight w:val="none"/>
                <w:lang w:val="en-US" w:eastAsia="zh-CN" w:bidi="ar"/>
              </w:rPr>
              <w:t>复印</w:t>
            </w:r>
            <w:r>
              <w:rPr>
                <w:rFonts w:hint="default" w:ascii="宋体" w:hAnsi="宋体" w:eastAsia="宋体" w:cs="宋体"/>
                <w:color w:val="auto"/>
                <w:kern w:val="0"/>
                <w:sz w:val="24"/>
                <w:szCs w:val="24"/>
                <w:highlight w:val="none"/>
                <w:lang w:val="en-US" w:eastAsia="zh-CN" w:bidi="ar"/>
              </w:rPr>
              <w:t>件，以彩页上的中文超高速打印速度参数为准，投标人应保证彩页所注明的相关技术指标与投标品牌产品制造商国内外官方网站的相关信息一致）若投标人为联合体投标的，联合体中的其中一方盖章即可。</w:t>
            </w:r>
            <w:r>
              <w:rPr>
                <w:rFonts w:hint="eastAsia" w:ascii="宋体" w:hAnsi="宋体" w:eastAsia="宋体" w:cs="宋体"/>
                <w:color w:val="auto"/>
                <w:kern w:val="0"/>
                <w:sz w:val="24"/>
                <w:szCs w:val="24"/>
                <w:highlight w:val="none"/>
                <w:lang w:val="en-US" w:eastAsia="zh-CN" w:bidi="ar"/>
              </w:rPr>
              <w:t>未按要求提供的不得分。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2C1893FF">
            <w:pPr>
              <w:keepNext w:val="0"/>
              <w:keepLines w:val="0"/>
              <w:suppressLineNumbers w:val="0"/>
              <w:tabs>
                <w:tab w:val="left" w:pos="720"/>
              </w:tabs>
              <w:spacing w:before="0" w:beforeAutospacing="0" w:after="0" w:afterAutospacing="0" w:line="360" w:lineRule="auto"/>
              <w:ind w:left="0" w:right="18"/>
              <w:jc w:val="center"/>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3</w:t>
            </w:r>
          </w:p>
        </w:tc>
      </w:tr>
      <w:tr w14:paraId="57F83C97">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590E6F4">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6</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6ADE39F9">
            <w:pPr>
              <w:keepNext w:val="0"/>
              <w:keepLines w:val="0"/>
              <w:widowControl/>
              <w:suppressLineNumbers w:val="0"/>
              <w:spacing w:before="0" w:beforeAutospacing="0" w:after="0" w:afterAutospacing="0" w:line="360" w:lineRule="auto"/>
              <w:ind w:left="0" w:right="0"/>
              <w:jc w:val="left"/>
              <w:textAlignment w:val="auto"/>
              <w:rPr>
                <w:rFonts w:hint="eastAsia" w:ascii="宋体" w:hAnsi="宋体" w:eastAsia="宋体" w:cs="宋体"/>
                <w:i w:val="0"/>
                <w:iCs w:val="0"/>
                <w:color w:val="auto"/>
                <w:kern w:val="0"/>
                <w:sz w:val="24"/>
                <w:szCs w:val="24"/>
                <w:highlight w:val="none"/>
                <w:u w:val="none"/>
                <w:lang w:val="en-US" w:eastAsia="zh-CN" w:bidi="ar"/>
              </w:rPr>
            </w:pPr>
            <w:r>
              <w:rPr>
                <w:rFonts w:hint="default" w:ascii="宋体" w:hAnsi="宋体" w:eastAsia="宋体" w:cs="宋体"/>
                <w:color w:val="auto"/>
                <w:kern w:val="0"/>
                <w:sz w:val="24"/>
                <w:szCs w:val="24"/>
                <w:highlight w:val="none"/>
                <w:lang w:val="en-US" w:eastAsia="zh-CN" w:bidi="ar"/>
              </w:rPr>
              <w:t>根据投标设备中品目号1-3的中文超高速打印速度进行评价</w:t>
            </w:r>
            <w:r>
              <w:rPr>
                <w:rFonts w:hint="default" w:ascii="宋体" w:hAnsi="宋体" w:cs="宋体"/>
                <w:color w:val="auto"/>
                <w:kern w:val="0"/>
                <w:sz w:val="24"/>
                <w:szCs w:val="24"/>
                <w:highlight w:val="none"/>
                <w:lang w:eastAsia="zh-CN" w:bidi="ar"/>
              </w:rPr>
              <w:t>:</w:t>
            </w:r>
            <w:r>
              <w:rPr>
                <w:rFonts w:hint="default" w:ascii="宋体" w:hAnsi="宋体" w:eastAsia="宋体" w:cs="宋体"/>
                <w:color w:val="auto"/>
                <w:kern w:val="0"/>
                <w:sz w:val="24"/>
                <w:szCs w:val="24"/>
                <w:highlight w:val="none"/>
                <w:lang w:val="en-US" w:eastAsia="zh-CN" w:bidi="ar"/>
              </w:rPr>
              <w:t>根据各个投标人所投标设备的中文超高速打印速度进行评分。中文超高速打印速度≥</w:t>
            </w:r>
            <w:r>
              <w:rPr>
                <w:rFonts w:hint="eastAsia" w:ascii="宋体" w:hAnsi="宋体" w:eastAsia="宋体" w:cs="宋体"/>
                <w:color w:val="auto"/>
                <w:kern w:val="0"/>
                <w:sz w:val="24"/>
                <w:szCs w:val="24"/>
                <w:highlight w:val="none"/>
                <w:lang w:val="en-US" w:eastAsia="zh-CN" w:bidi="ar"/>
              </w:rPr>
              <w:t>300</w:t>
            </w:r>
            <w:r>
              <w:rPr>
                <w:rFonts w:hint="default" w:ascii="宋体" w:hAnsi="宋体" w:eastAsia="宋体" w:cs="宋体"/>
                <w:color w:val="auto"/>
                <w:kern w:val="0"/>
                <w:sz w:val="24"/>
                <w:szCs w:val="24"/>
                <w:highlight w:val="none"/>
                <w:lang w:val="en-US" w:eastAsia="zh-CN" w:bidi="ar"/>
              </w:rPr>
              <w:t>汉字/秒得3分，中文超高速打印速度&lt;</w:t>
            </w:r>
            <w:r>
              <w:rPr>
                <w:rFonts w:hint="eastAsia" w:ascii="宋体" w:hAnsi="宋体" w:eastAsia="宋体" w:cs="宋体"/>
                <w:color w:val="auto"/>
                <w:kern w:val="0"/>
                <w:sz w:val="24"/>
                <w:szCs w:val="24"/>
                <w:highlight w:val="none"/>
                <w:lang w:val="en-US" w:eastAsia="zh-CN" w:bidi="ar"/>
              </w:rPr>
              <w:t>300</w:t>
            </w:r>
            <w:r>
              <w:rPr>
                <w:rFonts w:hint="default" w:ascii="宋体" w:hAnsi="宋体" w:eastAsia="宋体" w:cs="宋体"/>
                <w:color w:val="auto"/>
                <w:kern w:val="0"/>
                <w:sz w:val="24"/>
                <w:szCs w:val="24"/>
                <w:highlight w:val="none"/>
                <w:lang w:val="en-US" w:eastAsia="zh-CN" w:bidi="ar"/>
              </w:rPr>
              <w:t>汉字/秒得1.5分。（投标人需提供加盖投标人公章的产品彩页</w:t>
            </w:r>
            <w:r>
              <w:rPr>
                <w:rFonts w:hint="eastAsia" w:ascii="宋体" w:hAnsi="宋体" w:eastAsia="宋体" w:cs="宋体"/>
                <w:color w:val="auto"/>
                <w:kern w:val="0"/>
                <w:sz w:val="24"/>
                <w:szCs w:val="24"/>
                <w:highlight w:val="none"/>
                <w:lang w:val="en-US" w:eastAsia="zh-CN" w:bidi="ar"/>
              </w:rPr>
              <w:t>复印</w:t>
            </w:r>
            <w:r>
              <w:rPr>
                <w:rFonts w:hint="default" w:ascii="宋体" w:hAnsi="宋体" w:eastAsia="宋体" w:cs="宋体"/>
                <w:color w:val="auto"/>
                <w:kern w:val="0"/>
                <w:sz w:val="24"/>
                <w:szCs w:val="24"/>
                <w:highlight w:val="none"/>
                <w:lang w:val="en-US" w:eastAsia="zh-CN" w:bidi="ar"/>
              </w:rPr>
              <w:t>件，以彩页上的中文超高速打印速度参数为准，投标人应保证彩页所注明的相关技术指标与投标品牌产品制造商国内外官方网站的相关信息一致）若投标人为联合体投标的，联合体中的其中一方盖章即可。</w:t>
            </w:r>
            <w:r>
              <w:rPr>
                <w:rFonts w:hint="eastAsia" w:ascii="宋体" w:hAnsi="宋体" w:eastAsia="宋体" w:cs="宋体"/>
                <w:color w:val="auto"/>
                <w:kern w:val="0"/>
                <w:sz w:val="24"/>
                <w:szCs w:val="24"/>
                <w:highlight w:val="none"/>
                <w:lang w:val="en-US" w:eastAsia="zh-CN" w:bidi="ar"/>
              </w:rPr>
              <w:t>未按要求提供的不得分。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14128492">
            <w:pPr>
              <w:keepNext w:val="0"/>
              <w:keepLines w:val="0"/>
              <w:suppressLineNumbers w:val="0"/>
              <w:tabs>
                <w:tab w:val="left" w:pos="720"/>
              </w:tabs>
              <w:spacing w:before="0" w:beforeAutospacing="0" w:after="0" w:afterAutospacing="0" w:line="360" w:lineRule="auto"/>
              <w:ind w:left="0" w:right="18"/>
              <w:jc w:val="center"/>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3</w:t>
            </w:r>
          </w:p>
        </w:tc>
      </w:tr>
      <w:tr w14:paraId="2ECE035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64088B7">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7</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64358334">
            <w:pPr>
              <w:keepNext w:val="0"/>
              <w:keepLines w:val="0"/>
              <w:widowControl/>
              <w:suppressLineNumbers w:val="0"/>
              <w:spacing w:before="0" w:beforeAutospacing="0" w:after="0" w:afterAutospacing="0" w:line="360" w:lineRule="auto"/>
              <w:ind w:left="0" w:right="0"/>
              <w:jc w:val="left"/>
              <w:textAlignment w:val="auto"/>
              <w:rPr>
                <w:rFonts w:hint="eastAsia" w:ascii="宋体" w:hAnsi="宋体" w:eastAsia="宋体" w:cs="宋体"/>
                <w:i w:val="0"/>
                <w:iCs w:val="0"/>
                <w:color w:val="auto"/>
                <w:kern w:val="0"/>
                <w:sz w:val="24"/>
                <w:szCs w:val="24"/>
                <w:highlight w:val="none"/>
                <w:u w:val="none"/>
                <w:lang w:val="en-US" w:eastAsia="zh-CN" w:bidi="ar"/>
              </w:rPr>
            </w:pPr>
            <w:r>
              <w:rPr>
                <w:rFonts w:hint="default" w:ascii="宋体" w:hAnsi="宋体" w:eastAsia="宋体" w:cs="宋体"/>
                <w:color w:val="auto"/>
                <w:kern w:val="0"/>
                <w:sz w:val="24"/>
                <w:szCs w:val="24"/>
                <w:highlight w:val="none"/>
                <w:lang w:val="en-US" w:eastAsia="zh-CN" w:bidi="ar"/>
              </w:rPr>
              <w:t>根据投标设备中品目号1-4的中文超高速打印速度进行评价</w:t>
            </w:r>
            <w:r>
              <w:rPr>
                <w:rFonts w:hint="default" w:ascii="宋体" w:hAnsi="宋体" w:cs="宋体"/>
                <w:color w:val="auto"/>
                <w:kern w:val="0"/>
                <w:sz w:val="24"/>
                <w:szCs w:val="24"/>
                <w:highlight w:val="none"/>
                <w:lang w:eastAsia="zh-CN" w:bidi="ar"/>
              </w:rPr>
              <w:t>:</w:t>
            </w:r>
            <w:r>
              <w:rPr>
                <w:rFonts w:hint="default" w:ascii="宋体" w:hAnsi="宋体" w:eastAsia="宋体" w:cs="宋体"/>
                <w:color w:val="auto"/>
                <w:kern w:val="0"/>
                <w:sz w:val="24"/>
                <w:szCs w:val="24"/>
                <w:highlight w:val="none"/>
                <w:lang w:val="en-US" w:eastAsia="zh-CN" w:bidi="ar"/>
              </w:rPr>
              <w:t>根据各个投标人所投标设备的中文超高速打印速度进行评分。中文超高速打印速度≥</w:t>
            </w:r>
            <w:r>
              <w:rPr>
                <w:rFonts w:hint="eastAsia" w:ascii="宋体" w:hAnsi="宋体" w:eastAsia="宋体" w:cs="宋体"/>
                <w:color w:val="auto"/>
                <w:kern w:val="0"/>
                <w:sz w:val="24"/>
                <w:szCs w:val="24"/>
                <w:highlight w:val="none"/>
                <w:lang w:val="en-US" w:eastAsia="zh-CN" w:bidi="ar"/>
              </w:rPr>
              <w:t>280</w:t>
            </w:r>
            <w:r>
              <w:rPr>
                <w:rFonts w:hint="default" w:ascii="宋体" w:hAnsi="宋体" w:eastAsia="宋体" w:cs="宋体"/>
                <w:color w:val="auto"/>
                <w:kern w:val="0"/>
                <w:sz w:val="24"/>
                <w:szCs w:val="24"/>
                <w:highlight w:val="none"/>
                <w:lang w:val="en-US" w:eastAsia="zh-CN" w:bidi="ar"/>
              </w:rPr>
              <w:t>汉字/秒得3分，中文超高速打印速度&lt;</w:t>
            </w:r>
            <w:r>
              <w:rPr>
                <w:rFonts w:hint="eastAsia" w:ascii="宋体" w:hAnsi="宋体" w:eastAsia="宋体" w:cs="宋体"/>
                <w:color w:val="auto"/>
                <w:kern w:val="0"/>
                <w:sz w:val="24"/>
                <w:szCs w:val="24"/>
                <w:highlight w:val="none"/>
                <w:lang w:val="en-US" w:eastAsia="zh-CN" w:bidi="ar"/>
              </w:rPr>
              <w:t>280</w:t>
            </w:r>
            <w:r>
              <w:rPr>
                <w:rFonts w:hint="default" w:ascii="宋体" w:hAnsi="宋体" w:eastAsia="宋体" w:cs="宋体"/>
                <w:color w:val="auto"/>
                <w:kern w:val="0"/>
                <w:sz w:val="24"/>
                <w:szCs w:val="24"/>
                <w:highlight w:val="none"/>
                <w:lang w:val="en-US" w:eastAsia="zh-CN" w:bidi="ar"/>
              </w:rPr>
              <w:t>汉字/秒得1.5分。（投标人需提供加盖投标人公章的产品彩页</w:t>
            </w:r>
            <w:r>
              <w:rPr>
                <w:rFonts w:hint="eastAsia" w:ascii="宋体" w:hAnsi="宋体" w:eastAsia="宋体" w:cs="宋体"/>
                <w:color w:val="auto"/>
                <w:kern w:val="0"/>
                <w:sz w:val="24"/>
                <w:szCs w:val="24"/>
                <w:highlight w:val="none"/>
                <w:lang w:val="en-US" w:eastAsia="zh-CN" w:bidi="ar"/>
              </w:rPr>
              <w:t>复印</w:t>
            </w:r>
            <w:r>
              <w:rPr>
                <w:rFonts w:hint="default" w:ascii="宋体" w:hAnsi="宋体" w:eastAsia="宋体" w:cs="宋体"/>
                <w:color w:val="auto"/>
                <w:kern w:val="0"/>
                <w:sz w:val="24"/>
                <w:szCs w:val="24"/>
                <w:highlight w:val="none"/>
                <w:lang w:val="en-US" w:eastAsia="zh-CN" w:bidi="ar"/>
              </w:rPr>
              <w:t>件，以彩页上的中文超高速打印速度参数为准，投标人应保证彩页所注明的相关技术指标与投标品牌产品制造商国内外官方网站的相关信息一致）若投标人为联合体投标的，联合体中的其中一方盖章即可。</w:t>
            </w:r>
            <w:r>
              <w:rPr>
                <w:rFonts w:hint="eastAsia" w:ascii="宋体" w:hAnsi="宋体" w:eastAsia="宋体" w:cs="宋体"/>
                <w:color w:val="auto"/>
                <w:kern w:val="0"/>
                <w:sz w:val="24"/>
                <w:szCs w:val="24"/>
                <w:highlight w:val="none"/>
                <w:lang w:val="en-US" w:eastAsia="zh-CN" w:bidi="ar"/>
              </w:rPr>
              <w:t>未按要求提供的不得分。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15857907">
            <w:pPr>
              <w:keepNext w:val="0"/>
              <w:keepLines w:val="0"/>
              <w:suppressLineNumbers w:val="0"/>
              <w:tabs>
                <w:tab w:val="left" w:pos="720"/>
              </w:tabs>
              <w:spacing w:before="0" w:beforeAutospacing="0" w:after="0" w:afterAutospacing="0" w:line="360" w:lineRule="auto"/>
              <w:ind w:left="0" w:right="18"/>
              <w:jc w:val="center"/>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3</w:t>
            </w:r>
          </w:p>
        </w:tc>
      </w:tr>
      <w:tr w14:paraId="78370A7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428FF67">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8</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77D4184B">
            <w:pPr>
              <w:keepNext w:val="0"/>
              <w:keepLines w:val="0"/>
              <w:widowControl/>
              <w:suppressLineNumbers w:val="0"/>
              <w:spacing w:before="0" w:beforeAutospacing="0" w:after="0" w:afterAutospacing="0" w:line="360" w:lineRule="auto"/>
              <w:ind w:left="0" w:right="0"/>
              <w:jc w:val="left"/>
              <w:textAlignment w:val="auto"/>
              <w:rPr>
                <w:rFonts w:hint="eastAsia" w:ascii="宋体" w:hAnsi="宋体" w:eastAsia="宋体" w:cs="宋体"/>
                <w:i w:val="0"/>
                <w:iCs w:val="0"/>
                <w:color w:val="auto"/>
                <w:kern w:val="0"/>
                <w:sz w:val="24"/>
                <w:szCs w:val="24"/>
                <w:highlight w:val="none"/>
                <w:u w:val="none"/>
                <w:lang w:val="en-US" w:eastAsia="zh-CN" w:bidi="ar"/>
              </w:rPr>
            </w:pPr>
            <w:r>
              <w:rPr>
                <w:rFonts w:hint="default" w:ascii="宋体" w:hAnsi="宋体" w:eastAsia="宋体" w:cs="宋体"/>
                <w:color w:val="auto"/>
                <w:kern w:val="0"/>
                <w:sz w:val="24"/>
                <w:szCs w:val="24"/>
                <w:highlight w:val="none"/>
                <w:lang w:val="en-US" w:eastAsia="zh-CN" w:bidi="ar"/>
              </w:rPr>
              <w:t>根据投标设备中品目号1-1的最大打印厚度(单位：mm)进行评价</w:t>
            </w:r>
            <w:r>
              <w:rPr>
                <w:rFonts w:hint="default" w:ascii="宋体" w:hAnsi="宋体" w:cs="宋体"/>
                <w:color w:val="auto"/>
                <w:kern w:val="0"/>
                <w:sz w:val="24"/>
                <w:szCs w:val="24"/>
                <w:highlight w:val="none"/>
                <w:lang w:eastAsia="zh-CN" w:bidi="ar"/>
              </w:rPr>
              <w:t>:</w:t>
            </w:r>
            <w:r>
              <w:rPr>
                <w:rFonts w:hint="default" w:ascii="宋体" w:hAnsi="宋体" w:eastAsia="宋体" w:cs="宋体"/>
                <w:color w:val="auto"/>
                <w:kern w:val="0"/>
                <w:sz w:val="24"/>
                <w:szCs w:val="24"/>
                <w:highlight w:val="none"/>
                <w:lang w:val="en-US" w:eastAsia="zh-CN" w:bidi="ar"/>
              </w:rPr>
              <w:t>根据各个投标人所投标设备的最大打印厚度(单位：mm)进行评分。最大打印厚度(单位：mm)≥</w:t>
            </w:r>
            <w:r>
              <w:rPr>
                <w:rFonts w:hint="eastAsia" w:ascii="宋体" w:hAnsi="宋体" w:eastAsia="宋体" w:cs="宋体"/>
                <w:color w:val="auto"/>
                <w:kern w:val="0"/>
                <w:sz w:val="24"/>
                <w:szCs w:val="24"/>
                <w:highlight w:val="none"/>
                <w:lang w:val="en-US" w:eastAsia="zh-CN" w:bidi="ar"/>
              </w:rPr>
              <w:t>0.65</w:t>
            </w:r>
            <w:r>
              <w:rPr>
                <w:rFonts w:hint="default" w:ascii="宋体" w:hAnsi="宋体" w:eastAsia="宋体" w:cs="宋体"/>
                <w:color w:val="auto"/>
                <w:kern w:val="0"/>
                <w:sz w:val="24"/>
                <w:szCs w:val="24"/>
                <w:highlight w:val="none"/>
                <w:lang w:val="en-US" w:eastAsia="zh-CN" w:bidi="ar"/>
              </w:rPr>
              <w:t>得3分，最大打印厚度(单位：mm)＜</w:t>
            </w:r>
            <w:r>
              <w:rPr>
                <w:rFonts w:hint="eastAsia" w:ascii="宋体" w:hAnsi="宋体" w:eastAsia="宋体" w:cs="宋体"/>
                <w:color w:val="auto"/>
                <w:kern w:val="0"/>
                <w:sz w:val="24"/>
                <w:szCs w:val="24"/>
                <w:highlight w:val="none"/>
                <w:lang w:val="en-US" w:eastAsia="zh-CN" w:bidi="ar"/>
              </w:rPr>
              <w:t>0.65</w:t>
            </w:r>
            <w:r>
              <w:rPr>
                <w:rFonts w:hint="default" w:ascii="宋体" w:hAnsi="宋体" w:eastAsia="宋体" w:cs="宋体"/>
                <w:color w:val="auto"/>
                <w:kern w:val="0"/>
                <w:sz w:val="24"/>
                <w:szCs w:val="24"/>
                <w:highlight w:val="none"/>
                <w:lang w:val="en-US" w:eastAsia="zh-CN" w:bidi="ar"/>
              </w:rPr>
              <w:t>得2分。（投标人需提供加盖投标人公章的产品彩页或产品详细参数清单</w:t>
            </w:r>
            <w:r>
              <w:rPr>
                <w:rFonts w:hint="eastAsia" w:ascii="宋体" w:hAnsi="宋体" w:eastAsia="宋体" w:cs="宋体"/>
                <w:color w:val="auto"/>
                <w:kern w:val="0"/>
                <w:sz w:val="24"/>
                <w:szCs w:val="24"/>
                <w:highlight w:val="none"/>
                <w:lang w:val="en-US" w:eastAsia="zh-CN" w:bidi="ar"/>
              </w:rPr>
              <w:t>复印</w:t>
            </w:r>
            <w:r>
              <w:rPr>
                <w:rFonts w:hint="default" w:ascii="宋体" w:hAnsi="宋体" w:eastAsia="宋体" w:cs="宋体"/>
                <w:color w:val="auto"/>
                <w:kern w:val="0"/>
                <w:sz w:val="24"/>
                <w:szCs w:val="24"/>
                <w:highlight w:val="none"/>
                <w:lang w:val="en-US" w:eastAsia="zh-CN" w:bidi="ar"/>
              </w:rPr>
              <w:t>件，以产品彩页或产品详细参数清单的最大打印厚度参数为准，投标人应保证产品彩页或产品详细参数清单所注明的相关技术指标与投标品牌产品制造商国内外官方网站的相关信息一致）若投标人为联合体投标的，联合体中的其中一方盖章即可。</w:t>
            </w:r>
            <w:r>
              <w:rPr>
                <w:rFonts w:hint="eastAsia" w:ascii="宋体" w:hAnsi="宋体" w:eastAsia="宋体" w:cs="宋体"/>
                <w:color w:val="auto"/>
                <w:kern w:val="0"/>
                <w:sz w:val="24"/>
                <w:szCs w:val="24"/>
                <w:highlight w:val="none"/>
                <w:lang w:val="en-US" w:eastAsia="zh-CN" w:bidi="ar"/>
              </w:rPr>
              <w:t>未按要求提供的不得分。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046EAB09">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3</w:t>
            </w:r>
          </w:p>
        </w:tc>
      </w:tr>
      <w:tr w14:paraId="5FCEA312">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E1EB29F">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9</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41CD1568">
            <w:pPr>
              <w:keepNext w:val="0"/>
              <w:keepLines w:val="0"/>
              <w:widowControl/>
              <w:suppressLineNumbers w:val="0"/>
              <w:spacing w:before="0" w:beforeAutospacing="0" w:after="0" w:afterAutospacing="0" w:line="360" w:lineRule="auto"/>
              <w:ind w:left="0" w:right="0"/>
              <w:jc w:val="left"/>
              <w:textAlignment w:val="auto"/>
              <w:rPr>
                <w:rFonts w:hint="eastAsia" w:ascii="宋体" w:hAnsi="宋体" w:eastAsia="宋体" w:cs="宋体"/>
                <w:i w:val="0"/>
                <w:iCs w:val="0"/>
                <w:color w:val="auto"/>
                <w:kern w:val="0"/>
                <w:sz w:val="24"/>
                <w:szCs w:val="24"/>
                <w:highlight w:val="none"/>
                <w:u w:val="none"/>
                <w:lang w:val="en-US" w:eastAsia="zh-CN" w:bidi="ar"/>
              </w:rPr>
            </w:pPr>
            <w:r>
              <w:rPr>
                <w:rFonts w:hint="default" w:ascii="宋体" w:hAnsi="宋体" w:eastAsia="宋体" w:cs="宋体"/>
                <w:color w:val="auto"/>
                <w:kern w:val="0"/>
                <w:sz w:val="24"/>
                <w:szCs w:val="24"/>
                <w:highlight w:val="none"/>
                <w:lang w:val="en-US" w:eastAsia="zh-CN" w:bidi="ar"/>
              </w:rPr>
              <w:t>根据投标设备中品目号1-2的最大打印厚度(单位：mm)进行评价</w:t>
            </w:r>
            <w:r>
              <w:rPr>
                <w:rFonts w:hint="default" w:ascii="宋体" w:hAnsi="宋体" w:cs="宋体"/>
                <w:color w:val="auto"/>
                <w:kern w:val="0"/>
                <w:sz w:val="24"/>
                <w:szCs w:val="24"/>
                <w:highlight w:val="none"/>
                <w:lang w:eastAsia="zh-CN" w:bidi="ar"/>
              </w:rPr>
              <w:t>:</w:t>
            </w:r>
            <w:r>
              <w:rPr>
                <w:rFonts w:hint="default" w:ascii="宋体" w:hAnsi="宋体" w:eastAsia="宋体" w:cs="宋体"/>
                <w:color w:val="auto"/>
                <w:kern w:val="0"/>
                <w:sz w:val="24"/>
                <w:szCs w:val="24"/>
                <w:highlight w:val="none"/>
                <w:lang w:val="en-US" w:eastAsia="zh-CN" w:bidi="ar"/>
              </w:rPr>
              <w:t>根据各个投标人所投标设备的最大打印厚度(单位：mm)进行评分。最大打印厚度(单位：mm)≥</w:t>
            </w:r>
            <w:r>
              <w:rPr>
                <w:rFonts w:hint="eastAsia" w:ascii="宋体" w:hAnsi="宋体" w:eastAsia="宋体" w:cs="宋体"/>
                <w:color w:val="auto"/>
                <w:kern w:val="0"/>
                <w:sz w:val="24"/>
                <w:szCs w:val="24"/>
                <w:highlight w:val="none"/>
                <w:lang w:val="en-US" w:eastAsia="zh-CN" w:bidi="ar"/>
              </w:rPr>
              <w:t>0.8</w:t>
            </w:r>
            <w:r>
              <w:rPr>
                <w:rFonts w:hint="default" w:ascii="宋体" w:hAnsi="宋体" w:eastAsia="宋体" w:cs="宋体"/>
                <w:color w:val="auto"/>
                <w:kern w:val="0"/>
                <w:sz w:val="24"/>
                <w:szCs w:val="24"/>
                <w:highlight w:val="none"/>
                <w:lang w:val="en-US" w:eastAsia="zh-CN" w:bidi="ar"/>
              </w:rPr>
              <w:t>得3分，最大打印厚度(单位：mm)＜</w:t>
            </w:r>
            <w:r>
              <w:rPr>
                <w:rFonts w:hint="eastAsia" w:ascii="宋体" w:hAnsi="宋体" w:eastAsia="宋体" w:cs="宋体"/>
                <w:color w:val="auto"/>
                <w:kern w:val="0"/>
                <w:sz w:val="24"/>
                <w:szCs w:val="24"/>
                <w:highlight w:val="none"/>
                <w:lang w:val="en-US" w:eastAsia="zh-CN" w:bidi="ar"/>
              </w:rPr>
              <w:t>0.8</w:t>
            </w:r>
            <w:r>
              <w:rPr>
                <w:rFonts w:hint="default" w:ascii="宋体" w:hAnsi="宋体" w:eastAsia="宋体" w:cs="宋体"/>
                <w:color w:val="auto"/>
                <w:kern w:val="0"/>
                <w:sz w:val="24"/>
                <w:szCs w:val="24"/>
                <w:highlight w:val="none"/>
                <w:lang w:val="en-US" w:eastAsia="zh-CN" w:bidi="ar"/>
              </w:rPr>
              <w:t>得2分。（投标人需提供加盖投标人公章的产品彩页或产品详细参数清单</w:t>
            </w:r>
            <w:r>
              <w:rPr>
                <w:rFonts w:hint="eastAsia" w:ascii="宋体" w:hAnsi="宋体" w:eastAsia="宋体" w:cs="宋体"/>
                <w:color w:val="auto"/>
                <w:kern w:val="0"/>
                <w:sz w:val="24"/>
                <w:szCs w:val="24"/>
                <w:highlight w:val="none"/>
                <w:lang w:val="en-US" w:eastAsia="zh-CN" w:bidi="ar"/>
              </w:rPr>
              <w:t>复印</w:t>
            </w:r>
            <w:r>
              <w:rPr>
                <w:rFonts w:hint="default" w:ascii="宋体" w:hAnsi="宋体" w:eastAsia="宋体" w:cs="宋体"/>
                <w:color w:val="auto"/>
                <w:kern w:val="0"/>
                <w:sz w:val="24"/>
                <w:szCs w:val="24"/>
                <w:highlight w:val="none"/>
                <w:lang w:val="en-US" w:eastAsia="zh-CN" w:bidi="ar"/>
              </w:rPr>
              <w:t>件，以产品彩页或产品详细参数清单的最大打印厚度参数为准，投标人应保证产品彩页或产品详细参数清单所注明的相关技术指标与投标品牌产品制造商国内外官方网站的相关信息一致）若投标人为联合体投标的，联合体中的其中一方盖章即可。</w:t>
            </w:r>
            <w:r>
              <w:rPr>
                <w:rFonts w:hint="eastAsia" w:ascii="宋体" w:hAnsi="宋体" w:eastAsia="宋体" w:cs="宋体"/>
                <w:color w:val="auto"/>
                <w:kern w:val="0"/>
                <w:sz w:val="24"/>
                <w:szCs w:val="24"/>
                <w:highlight w:val="none"/>
                <w:lang w:val="en-US" w:eastAsia="zh-CN" w:bidi="ar"/>
              </w:rPr>
              <w:t>未按要求提供的不得分。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4C5CCBB5">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3</w:t>
            </w:r>
          </w:p>
        </w:tc>
      </w:tr>
      <w:tr w14:paraId="2FD862D8">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1891658">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10</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0F0D6277">
            <w:pPr>
              <w:keepNext w:val="0"/>
              <w:keepLines w:val="0"/>
              <w:widowControl/>
              <w:suppressLineNumbers w:val="0"/>
              <w:spacing w:before="0" w:beforeAutospacing="0" w:after="0" w:afterAutospacing="0" w:line="360" w:lineRule="auto"/>
              <w:ind w:left="0" w:right="0"/>
              <w:jc w:val="left"/>
              <w:textAlignment w:val="auto"/>
              <w:rPr>
                <w:rFonts w:hint="eastAsia" w:ascii="宋体" w:hAnsi="宋体" w:eastAsia="宋体" w:cs="宋体"/>
                <w:i w:val="0"/>
                <w:iCs w:val="0"/>
                <w:color w:val="auto"/>
                <w:kern w:val="0"/>
                <w:sz w:val="24"/>
                <w:szCs w:val="24"/>
                <w:highlight w:val="none"/>
                <w:u w:val="none"/>
                <w:lang w:val="en-US" w:eastAsia="zh-CN" w:bidi="ar"/>
              </w:rPr>
            </w:pPr>
            <w:r>
              <w:rPr>
                <w:rFonts w:hint="default" w:ascii="宋体" w:hAnsi="宋体" w:eastAsia="宋体" w:cs="宋体"/>
                <w:color w:val="auto"/>
                <w:kern w:val="0"/>
                <w:sz w:val="24"/>
                <w:szCs w:val="24"/>
                <w:highlight w:val="none"/>
                <w:lang w:val="en-US" w:eastAsia="zh-CN" w:bidi="ar"/>
              </w:rPr>
              <w:t>根据投标设备中品目号1-3的最大打印厚度(单位：mm)进行评价</w:t>
            </w:r>
            <w:r>
              <w:rPr>
                <w:rFonts w:hint="default" w:ascii="宋体" w:hAnsi="宋体" w:cs="宋体"/>
                <w:color w:val="auto"/>
                <w:kern w:val="0"/>
                <w:sz w:val="24"/>
                <w:szCs w:val="24"/>
                <w:highlight w:val="none"/>
                <w:lang w:eastAsia="zh-CN" w:bidi="ar"/>
              </w:rPr>
              <w:t>:</w:t>
            </w:r>
            <w:r>
              <w:rPr>
                <w:rFonts w:hint="default" w:ascii="宋体" w:hAnsi="宋体" w:eastAsia="宋体" w:cs="宋体"/>
                <w:color w:val="auto"/>
                <w:kern w:val="0"/>
                <w:sz w:val="24"/>
                <w:szCs w:val="24"/>
                <w:highlight w:val="none"/>
                <w:lang w:val="en-US" w:eastAsia="zh-CN" w:bidi="ar"/>
              </w:rPr>
              <w:t>根据各个投标人所投标设备的最大打印厚度(单位：mm)进行评分。最大打印厚度(单位：mm)≥</w:t>
            </w:r>
            <w:r>
              <w:rPr>
                <w:rFonts w:hint="eastAsia" w:ascii="宋体" w:hAnsi="宋体" w:eastAsia="宋体" w:cs="宋体"/>
                <w:color w:val="auto"/>
                <w:kern w:val="0"/>
                <w:sz w:val="24"/>
                <w:szCs w:val="24"/>
                <w:highlight w:val="none"/>
                <w:lang w:val="en-US" w:eastAsia="zh-CN" w:bidi="ar"/>
              </w:rPr>
              <w:t>2</w:t>
            </w:r>
            <w:r>
              <w:rPr>
                <w:rFonts w:hint="default" w:ascii="宋体" w:hAnsi="宋体" w:eastAsia="宋体" w:cs="宋体"/>
                <w:color w:val="auto"/>
                <w:kern w:val="0"/>
                <w:sz w:val="24"/>
                <w:szCs w:val="24"/>
                <w:highlight w:val="none"/>
                <w:lang w:val="en-US" w:eastAsia="zh-CN" w:bidi="ar"/>
              </w:rPr>
              <w:t>得3分，最大打印厚度(单位：mm)＜</w:t>
            </w:r>
            <w:r>
              <w:rPr>
                <w:rFonts w:hint="eastAsia" w:ascii="宋体" w:hAnsi="宋体" w:eastAsia="宋体" w:cs="宋体"/>
                <w:color w:val="auto"/>
                <w:kern w:val="0"/>
                <w:sz w:val="24"/>
                <w:szCs w:val="24"/>
                <w:highlight w:val="none"/>
                <w:lang w:val="en-US" w:eastAsia="zh-CN" w:bidi="ar"/>
              </w:rPr>
              <w:t>2</w:t>
            </w:r>
            <w:r>
              <w:rPr>
                <w:rFonts w:hint="default" w:ascii="宋体" w:hAnsi="宋体" w:eastAsia="宋体" w:cs="宋体"/>
                <w:color w:val="auto"/>
                <w:kern w:val="0"/>
                <w:sz w:val="24"/>
                <w:szCs w:val="24"/>
                <w:highlight w:val="none"/>
                <w:lang w:val="en-US" w:eastAsia="zh-CN" w:bidi="ar"/>
              </w:rPr>
              <w:t>得2分。（投标人需提供加盖投标人公章的产品彩页或产品详细参数清单</w:t>
            </w:r>
            <w:r>
              <w:rPr>
                <w:rFonts w:hint="eastAsia" w:ascii="宋体" w:hAnsi="宋体" w:eastAsia="宋体" w:cs="宋体"/>
                <w:color w:val="auto"/>
                <w:kern w:val="0"/>
                <w:sz w:val="24"/>
                <w:szCs w:val="24"/>
                <w:highlight w:val="none"/>
                <w:lang w:val="en-US" w:eastAsia="zh-CN" w:bidi="ar"/>
              </w:rPr>
              <w:t>复印</w:t>
            </w:r>
            <w:r>
              <w:rPr>
                <w:rFonts w:hint="default" w:ascii="宋体" w:hAnsi="宋体" w:eastAsia="宋体" w:cs="宋体"/>
                <w:color w:val="auto"/>
                <w:kern w:val="0"/>
                <w:sz w:val="24"/>
                <w:szCs w:val="24"/>
                <w:highlight w:val="none"/>
                <w:lang w:val="en-US" w:eastAsia="zh-CN" w:bidi="ar"/>
              </w:rPr>
              <w:t>件，以产品彩页或产品详细参数清单的最大打印厚度参数为准，投标人应保证产品彩页或产品详细参数清单所注明的相关技术指标与投标品牌产品制造商国内外官方网站的相关信息一致）若投标人为联合体投标的，联合体中的其中一方盖章即可。</w:t>
            </w:r>
            <w:r>
              <w:rPr>
                <w:rFonts w:hint="eastAsia" w:ascii="宋体" w:hAnsi="宋体" w:eastAsia="宋体" w:cs="宋体"/>
                <w:color w:val="auto"/>
                <w:kern w:val="0"/>
                <w:sz w:val="24"/>
                <w:szCs w:val="24"/>
                <w:highlight w:val="none"/>
                <w:lang w:val="en-US" w:eastAsia="zh-CN" w:bidi="ar"/>
              </w:rPr>
              <w:t>未按要求提供的不得分。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0B0988F4">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3</w:t>
            </w:r>
          </w:p>
        </w:tc>
      </w:tr>
      <w:tr w14:paraId="5297203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C55E29D">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11</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767123AB">
            <w:pPr>
              <w:keepNext w:val="0"/>
              <w:keepLines w:val="0"/>
              <w:widowControl/>
              <w:suppressLineNumbers w:val="0"/>
              <w:spacing w:before="0" w:beforeAutospacing="0" w:after="0" w:afterAutospacing="0" w:line="360" w:lineRule="auto"/>
              <w:ind w:left="0" w:right="0"/>
              <w:jc w:val="left"/>
              <w:textAlignment w:val="auto"/>
              <w:rPr>
                <w:rFonts w:hint="eastAsia" w:ascii="宋体" w:hAnsi="宋体" w:eastAsia="宋体" w:cs="宋体"/>
                <w:i w:val="0"/>
                <w:iCs w:val="0"/>
                <w:color w:val="auto"/>
                <w:kern w:val="0"/>
                <w:sz w:val="24"/>
                <w:szCs w:val="24"/>
                <w:highlight w:val="none"/>
                <w:u w:val="none"/>
                <w:lang w:val="en-US" w:eastAsia="zh-CN" w:bidi="ar"/>
              </w:rPr>
            </w:pPr>
            <w:r>
              <w:rPr>
                <w:rFonts w:hint="default" w:ascii="宋体" w:hAnsi="宋体" w:eastAsia="宋体" w:cs="宋体"/>
                <w:color w:val="auto"/>
                <w:kern w:val="0"/>
                <w:sz w:val="24"/>
                <w:szCs w:val="24"/>
                <w:highlight w:val="none"/>
                <w:lang w:val="en-US" w:eastAsia="zh-CN" w:bidi="ar"/>
              </w:rPr>
              <w:t>根据投标设备中品目号1-4的最大打印厚度(单位：mm)进行评价</w:t>
            </w:r>
            <w:r>
              <w:rPr>
                <w:rFonts w:hint="default" w:ascii="宋体" w:hAnsi="宋体" w:cs="宋体"/>
                <w:color w:val="auto"/>
                <w:kern w:val="0"/>
                <w:sz w:val="24"/>
                <w:szCs w:val="24"/>
                <w:highlight w:val="none"/>
                <w:lang w:eastAsia="zh-CN" w:bidi="ar"/>
              </w:rPr>
              <w:t>:</w:t>
            </w:r>
            <w:r>
              <w:rPr>
                <w:rFonts w:hint="default" w:ascii="宋体" w:hAnsi="宋体" w:eastAsia="宋体" w:cs="宋体"/>
                <w:color w:val="auto"/>
                <w:kern w:val="0"/>
                <w:sz w:val="24"/>
                <w:szCs w:val="24"/>
                <w:highlight w:val="none"/>
                <w:lang w:val="en-US" w:eastAsia="zh-CN" w:bidi="ar"/>
              </w:rPr>
              <w:t>根据各个投标人所投标设备的最大打印厚度(单位：mm)进行评分。最大打印厚度(单位：mm)≥</w:t>
            </w:r>
            <w:r>
              <w:rPr>
                <w:rFonts w:hint="eastAsia" w:ascii="宋体" w:hAnsi="宋体" w:eastAsia="宋体" w:cs="宋体"/>
                <w:color w:val="auto"/>
                <w:kern w:val="0"/>
                <w:sz w:val="24"/>
                <w:szCs w:val="24"/>
                <w:highlight w:val="none"/>
                <w:lang w:val="en-US" w:eastAsia="zh-CN" w:bidi="ar"/>
              </w:rPr>
              <w:t>2.8</w:t>
            </w:r>
            <w:r>
              <w:rPr>
                <w:rFonts w:hint="default" w:ascii="宋体" w:hAnsi="宋体" w:eastAsia="宋体" w:cs="宋体"/>
                <w:color w:val="auto"/>
                <w:kern w:val="0"/>
                <w:sz w:val="24"/>
                <w:szCs w:val="24"/>
                <w:highlight w:val="none"/>
                <w:lang w:val="en-US" w:eastAsia="zh-CN" w:bidi="ar"/>
              </w:rPr>
              <w:t>得3分，最大打印厚度(单位：mm)＜</w:t>
            </w:r>
            <w:r>
              <w:rPr>
                <w:rFonts w:hint="eastAsia" w:ascii="宋体" w:hAnsi="宋体" w:eastAsia="宋体" w:cs="宋体"/>
                <w:color w:val="auto"/>
                <w:kern w:val="0"/>
                <w:sz w:val="24"/>
                <w:szCs w:val="24"/>
                <w:highlight w:val="none"/>
                <w:lang w:val="en-US" w:eastAsia="zh-CN" w:bidi="ar"/>
              </w:rPr>
              <w:t>2.8</w:t>
            </w:r>
            <w:r>
              <w:rPr>
                <w:rFonts w:hint="default" w:ascii="宋体" w:hAnsi="宋体" w:eastAsia="宋体" w:cs="宋体"/>
                <w:color w:val="auto"/>
                <w:kern w:val="0"/>
                <w:sz w:val="24"/>
                <w:szCs w:val="24"/>
                <w:highlight w:val="none"/>
                <w:lang w:val="en-US" w:eastAsia="zh-CN" w:bidi="ar"/>
              </w:rPr>
              <w:t>得2分。（投标人需提供加盖投标人公章的产品彩页或产品详细参数清单</w:t>
            </w:r>
            <w:r>
              <w:rPr>
                <w:rFonts w:hint="eastAsia" w:ascii="宋体" w:hAnsi="宋体" w:eastAsia="宋体" w:cs="宋体"/>
                <w:color w:val="auto"/>
                <w:kern w:val="0"/>
                <w:sz w:val="24"/>
                <w:szCs w:val="24"/>
                <w:highlight w:val="none"/>
                <w:lang w:val="en-US" w:eastAsia="zh-CN" w:bidi="ar"/>
              </w:rPr>
              <w:t>复印</w:t>
            </w:r>
            <w:r>
              <w:rPr>
                <w:rFonts w:hint="default" w:ascii="宋体" w:hAnsi="宋体" w:eastAsia="宋体" w:cs="宋体"/>
                <w:color w:val="auto"/>
                <w:kern w:val="0"/>
                <w:sz w:val="24"/>
                <w:szCs w:val="24"/>
                <w:highlight w:val="none"/>
                <w:lang w:val="en-US" w:eastAsia="zh-CN" w:bidi="ar"/>
              </w:rPr>
              <w:t>件，以产品彩页或产品详细参数清单的最大打印厚度参数为准，投标人应保证产品彩页或产品详细参数清单所注明的相关技术指标与投标品牌产品制造商国内外官方网站的相关信息一致）若投标人为联合体投标的，联合体中的其中一方盖章即可。</w:t>
            </w:r>
            <w:r>
              <w:rPr>
                <w:rFonts w:hint="eastAsia" w:ascii="宋体" w:hAnsi="宋体" w:eastAsia="宋体" w:cs="宋体"/>
                <w:color w:val="auto"/>
                <w:kern w:val="0"/>
                <w:sz w:val="24"/>
                <w:szCs w:val="24"/>
                <w:highlight w:val="none"/>
                <w:lang w:val="en-US" w:eastAsia="zh-CN" w:bidi="ar"/>
              </w:rPr>
              <w:t>未按要求提供的不得分。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1BD4C5D6">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3</w:t>
            </w:r>
          </w:p>
        </w:tc>
      </w:tr>
      <w:tr w14:paraId="3EEE4E2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09B2B08E">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12</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3B7A6122">
            <w:pPr>
              <w:keepNext w:val="0"/>
              <w:keepLines w:val="0"/>
              <w:widowControl/>
              <w:suppressLineNumbers w:val="0"/>
              <w:spacing w:before="0" w:beforeAutospacing="0" w:after="0" w:afterAutospacing="0" w:line="360" w:lineRule="auto"/>
              <w:ind w:left="0" w:right="0"/>
              <w:jc w:val="left"/>
              <w:textAlignment w:val="auto"/>
              <w:rPr>
                <w:rFonts w:hint="eastAsia" w:ascii="宋体" w:hAnsi="宋体" w:eastAsia="宋体" w:cs="宋体"/>
                <w:i w:val="0"/>
                <w:iCs w:val="0"/>
                <w:color w:val="auto"/>
                <w:kern w:val="0"/>
                <w:sz w:val="24"/>
                <w:szCs w:val="24"/>
                <w:highlight w:val="none"/>
                <w:u w:val="none"/>
                <w:lang w:val="en-US" w:eastAsia="zh-CN" w:bidi="ar"/>
              </w:rPr>
            </w:pPr>
            <w:r>
              <w:rPr>
                <w:rFonts w:hint="default" w:ascii="宋体" w:hAnsi="宋体" w:eastAsia="宋体" w:cs="宋体"/>
                <w:color w:val="auto"/>
                <w:kern w:val="0"/>
                <w:sz w:val="24"/>
                <w:szCs w:val="24"/>
                <w:highlight w:val="none"/>
                <w:lang w:val="en-US" w:eastAsia="zh-CN" w:bidi="ar"/>
              </w:rPr>
              <w:t>根据投标设备中品目号1-1的复写能力(单位：份/联)进行评价</w:t>
            </w:r>
            <w:r>
              <w:rPr>
                <w:rFonts w:hint="default" w:ascii="宋体" w:hAnsi="宋体" w:cs="宋体"/>
                <w:color w:val="auto"/>
                <w:kern w:val="0"/>
                <w:sz w:val="24"/>
                <w:szCs w:val="24"/>
                <w:highlight w:val="none"/>
                <w:lang w:eastAsia="zh-CN" w:bidi="ar"/>
              </w:rPr>
              <w:t>:</w:t>
            </w:r>
            <w:r>
              <w:rPr>
                <w:rFonts w:hint="default" w:ascii="宋体" w:hAnsi="宋体" w:eastAsia="宋体" w:cs="宋体"/>
                <w:color w:val="auto"/>
                <w:kern w:val="0"/>
                <w:sz w:val="24"/>
                <w:szCs w:val="24"/>
                <w:highlight w:val="none"/>
                <w:lang w:val="en-US" w:eastAsia="zh-CN" w:bidi="ar"/>
              </w:rPr>
              <w:t>根据各个投标人所投标设备的复写能力(单位：份/联)进行评分。复写能力(单位：份/联)≥</w:t>
            </w:r>
            <w:r>
              <w:rPr>
                <w:rFonts w:hint="eastAsia" w:ascii="宋体" w:hAnsi="宋体" w:eastAsia="宋体" w:cs="宋体"/>
                <w:color w:val="auto"/>
                <w:kern w:val="0"/>
                <w:sz w:val="24"/>
                <w:szCs w:val="24"/>
                <w:highlight w:val="none"/>
                <w:lang w:val="en-US" w:eastAsia="zh-CN" w:bidi="ar"/>
              </w:rPr>
              <w:t>1+6</w:t>
            </w:r>
            <w:r>
              <w:rPr>
                <w:rFonts w:hint="default" w:ascii="宋体" w:hAnsi="宋体" w:eastAsia="宋体" w:cs="宋体"/>
                <w:color w:val="auto"/>
                <w:kern w:val="0"/>
                <w:sz w:val="24"/>
                <w:szCs w:val="24"/>
                <w:highlight w:val="none"/>
                <w:lang w:val="en-US" w:eastAsia="zh-CN" w:bidi="ar"/>
              </w:rPr>
              <w:t xml:space="preserve">得3分， </w:t>
            </w:r>
            <w:r>
              <w:rPr>
                <w:rFonts w:hint="eastAsia" w:ascii="宋体" w:hAnsi="宋体" w:eastAsia="宋体" w:cs="宋体"/>
                <w:color w:val="auto"/>
                <w:kern w:val="0"/>
                <w:sz w:val="24"/>
                <w:szCs w:val="24"/>
                <w:highlight w:val="none"/>
                <w:lang w:val="en-US" w:eastAsia="zh-CN" w:bidi="ar"/>
              </w:rPr>
              <w:t>1+3</w:t>
            </w:r>
            <w:r>
              <w:rPr>
                <w:rFonts w:hint="default" w:ascii="宋体" w:hAnsi="宋体" w:eastAsia="宋体" w:cs="宋体"/>
                <w:color w:val="auto"/>
                <w:kern w:val="0"/>
                <w:sz w:val="24"/>
                <w:szCs w:val="24"/>
                <w:highlight w:val="none"/>
                <w:lang w:val="en-US" w:eastAsia="zh-CN" w:bidi="ar"/>
              </w:rPr>
              <w:t>≤复写能力(单位：份/联)＜</w:t>
            </w:r>
            <w:r>
              <w:rPr>
                <w:rFonts w:hint="eastAsia" w:ascii="宋体" w:hAnsi="宋体" w:eastAsia="宋体" w:cs="宋体"/>
                <w:color w:val="auto"/>
                <w:kern w:val="0"/>
                <w:sz w:val="24"/>
                <w:szCs w:val="24"/>
                <w:highlight w:val="none"/>
                <w:lang w:val="en-US" w:eastAsia="zh-CN" w:bidi="ar"/>
              </w:rPr>
              <w:t>1+6</w:t>
            </w:r>
            <w:r>
              <w:rPr>
                <w:rFonts w:hint="default" w:ascii="宋体" w:hAnsi="宋体" w:eastAsia="宋体" w:cs="宋体"/>
                <w:color w:val="auto"/>
                <w:kern w:val="0"/>
                <w:sz w:val="24"/>
                <w:szCs w:val="24"/>
                <w:highlight w:val="none"/>
                <w:lang w:val="en-US" w:eastAsia="zh-CN" w:bidi="ar"/>
              </w:rPr>
              <w:t>得2分，其余得0分。（投标人需提供加盖投标人公章的产品彩页或产品详细参数清单</w:t>
            </w:r>
            <w:r>
              <w:rPr>
                <w:rFonts w:hint="eastAsia" w:ascii="宋体" w:hAnsi="宋体" w:eastAsia="宋体" w:cs="宋体"/>
                <w:color w:val="auto"/>
                <w:kern w:val="0"/>
                <w:sz w:val="24"/>
                <w:szCs w:val="24"/>
                <w:highlight w:val="none"/>
                <w:lang w:val="en-US" w:eastAsia="zh-CN" w:bidi="ar"/>
              </w:rPr>
              <w:t>复印</w:t>
            </w:r>
            <w:r>
              <w:rPr>
                <w:rFonts w:hint="default" w:ascii="宋体" w:hAnsi="宋体" w:eastAsia="宋体" w:cs="宋体"/>
                <w:color w:val="auto"/>
                <w:kern w:val="0"/>
                <w:sz w:val="24"/>
                <w:szCs w:val="24"/>
                <w:highlight w:val="none"/>
                <w:lang w:val="en-US" w:eastAsia="zh-CN" w:bidi="ar"/>
              </w:rPr>
              <w:t>件，以产品彩页或产品详细参数清单的复写能力参数为准，投标人应保证产品彩页或产品详细参数清单所注明的相关技术指标与投标品牌产品制造商国内外官方网站的相关信息一致）若投标人为联合体投标的，联合体中的其中一方盖章即可。</w:t>
            </w:r>
            <w:r>
              <w:rPr>
                <w:rFonts w:hint="eastAsia" w:ascii="宋体" w:hAnsi="宋体" w:eastAsia="宋体" w:cs="宋体"/>
                <w:color w:val="auto"/>
                <w:kern w:val="0"/>
                <w:sz w:val="24"/>
                <w:szCs w:val="24"/>
                <w:highlight w:val="none"/>
                <w:lang w:val="en-US" w:eastAsia="zh-CN" w:bidi="ar"/>
              </w:rPr>
              <w:t>未按要求提供的不得分。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4415ED11">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3</w:t>
            </w:r>
          </w:p>
        </w:tc>
      </w:tr>
      <w:tr w14:paraId="4D729492">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50E78A9">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13</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2266C6E1">
            <w:pPr>
              <w:keepNext w:val="0"/>
              <w:keepLines w:val="0"/>
              <w:widowControl/>
              <w:suppressLineNumbers w:val="0"/>
              <w:spacing w:before="0" w:beforeAutospacing="0" w:after="0" w:afterAutospacing="0" w:line="360" w:lineRule="auto"/>
              <w:ind w:left="0" w:right="0"/>
              <w:jc w:val="left"/>
              <w:textAlignment w:val="auto"/>
              <w:rPr>
                <w:rFonts w:hint="eastAsia" w:ascii="宋体" w:hAnsi="宋体" w:eastAsia="宋体" w:cs="宋体"/>
                <w:i w:val="0"/>
                <w:iCs w:val="0"/>
                <w:color w:val="auto"/>
                <w:kern w:val="0"/>
                <w:sz w:val="24"/>
                <w:szCs w:val="24"/>
                <w:highlight w:val="none"/>
                <w:u w:val="none"/>
                <w:lang w:val="en-US" w:eastAsia="zh-CN" w:bidi="ar"/>
              </w:rPr>
            </w:pPr>
            <w:r>
              <w:rPr>
                <w:rFonts w:hint="default" w:ascii="宋体" w:hAnsi="宋体" w:eastAsia="宋体" w:cs="宋体"/>
                <w:color w:val="auto"/>
                <w:kern w:val="0"/>
                <w:sz w:val="24"/>
                <w:szCs w:val="24"/>
                <w:highlight w:val="none"/>
                <w:lang w:val="en-US" w:eastAsia="zh-CN" w:bidi="ar"/>
              </w:rPr>
              <w:t>根据投标设备中品目号1-2的复写能力(单位：份/联)进行评价</w:t>
            </w:r>
            <w:r>
              <w:rPr>
                <w:rFonts w:hint="default" w:ascii="宋体" w:hAnsi="宋体" w:cs="宋体"/>
                <w:color w:val="auto"/>
                <w:kern w:val="0"/>
                <w:sz w:val="24"/>
                <w:szCs w:val="24"/>
                <w:highlight w:val="none"/>
                <w:lang w:eastAsia="zh-CN" w:bidi="ar"/>
              </w:rPr>
              <w:t>:</w:t>
            </w:r>
            <w:r>
              <w:rPr>
                <w:rFonts w:hint="default" w:ascii="宋体" w:hAnsi="宋体" w:eastAsia="宋体" w:cs="宋体"/>
                <w:color w:val="auto"/>
                <w:kern w:val="0"/>
                <w:sz w:val="24"/>
                <w:szCs w:val="24"/>
                <w:highlight w:val="none"/>
                <w:lang w:val="en-US" w:eastAsia="zh-CN" w:bidi="ar"/>
              </w:rPr>
              <w:t>根据各个投标人所投标设备的复写能力(单位：份/联)进行评分。复写能力(单位：份/联)≥</w:t>
            </w:r>
            <w:r>
              <w:rPr>
                <w:rFonts w:hint="eastAsia" w:ascii="宋体" w:hAnsi="宋体" w:eastAsia="宋体" w:cs="宋体"/>
                <w:color w:val="auto"/>
                <w:kern w:val="0"/>
                <w:sz w:val="24"/>
                <w:szCs w:val="24"/>
                <w:highlight w:val="none"/>
                <w:lang w:val="en-US" w:eastAsia="zh-CN" w:bidi="ar"/>
              </w:rPr>
              <w:t>1+6</w:t>
            </w:r>
            <w:r>
              <w:rPr>
                <w:rFonts w:hint="default" w:ascii="宋体" w:hAnsi="宋体" w:eastAsia="宋体" w:cs="宋体"/>
                <w:color w:val="auto"/>
                <w:kern w:val="0"/>
                <w:sz w:val="24"/>
                <w:szCs w:val="24"/>
                <w:highlight w:val="none"/>
                <w:lang w:val="en-US" w:eastAsia="zh-CN" w:bidi="ar"/>
              </w:rPr>
              <w:t>得3分，</w:t>
            </w:r>
            <w:r>
              <w:rPr>
                <w:rFonts w:hint="eastAsia" w:ascii="宋体" w:hAnsi="宋体" w:eastAsia="宋体" w:cs="宋体"/>
                <w:color w:val="auto"/>
                <w:kern w:val="0"/>
                <w:sz w:val="24"/>
                <w:szCs w:val="24"/>
                <w:highlight w:val="none"/>
                <w:lang w:val="en-US" w:eastAsia="zh-CN" w:bidi="ar"/>
              </w:rPr>
              <w:t>1+4</w:t>
            </w:r>
            <w:r>
              <w:rPr>
                <w:rFonts w:hint="default" w:ascii="宋体" w:hAnsi="宋体" w:eastAsia="宋体" w:cs="宋体"/>
                <w:color w:val="auto"/>
                <w:kern w:val="0"/>
                <w:sz w:val="24"/>
                <w:szCs w:val="24"/>
                <w:highlight w:val="none"/>
                <w:lang w:val="en-US" w:eastAsia="zh-CN" w:bidi="ar"/>
              </w:rPr>
              <w:t>≤复写能力(单位：份/联)＜</w:t>
            </w:r>
            <w:r>
              <w:rPr>
                <w:rFonts w:hint="eastAsia" w:ascii="宋体" w:hAnsi="宋体" w:eastAsia="宋体" w:cs="宋体"/>
                <w:color w:val="auto"/>
                <w:kern w:val="0"/>
                <w:sz w:val="24"/>
                <w:szCs w:val="24"/>
                <w:highlight w:val="none"/>
                <w:lang w:val="en-US" w:eastAsia="zh-CN" w:bidi="ar"/>
              </w:rPr>
              <w:t>1+6</w:t>
            </w:r>
            <w:r>
              <w:rPr>
                <w:rFonts w:hint="default" w:ascii="宋体" w:hAnsi="宋体" w:eastAsia="宋体" w:cs="宋体"/>
                <w:color w:val="auto"/>
                <w:kern w:val="0"/>
                <w:sz w:val="24"/>
                <w:szCs w:val="24"/>
                <w:highlight w:val="none"/>
                <w:lang w:val="en-US" w:eastAsia="zh-CN" w:bidi="ar"/>
              </w:rPr>
              <w:t>得2分，其余得0分。（投标人需提供加盖投标人公章的产品彩页或产品详细参数清单</w:t>
            </w:r>
            <w:r>
              <w:rPr>
                <w:rFonts w:hint="eastAsia" w:ascii="宋体" w:hAnsi="宋体" w:eastAsia="宋体" w:cs="宋体"/>
                <w:color w:val="auto"/>
                <w:kern w:val="0"/>
                <w:sz w:val="24"/>
                <w:szCs w:val="24"/>
                <w:highlight w:val="none"/>
                <w:lang w:val="en-US" w:eastAsia="zh-CN" w:bidi="ar"/>
              </w:rPr>
              <w:t>复印</w:t>
            </w:r>
            <w:r>
              <w:rPr>
                <w:rFonts w:hint="default" w:ascii="宋体" w:hAnsi="宋体" w:eastAsia="宋体" w:cs="宋体"/>
                <w:color w:val="auto"/>
                <w:kern w:val="0"/>
                <w:sz w:val="24"/>
                <w:szCs w:val="24"/>
                <w:highlight w:val="none"/>
                <w:lang w:val="en-US" w:eastAsia="zh-CN" w:bidi="ar"/>
              </w:rPr>
              <w:t>件，以产品彩页或产品详细参数清单的复写能力参数为准，投标人应保证产品彩页或产品详细参数清单所注明的相关技术指标与投标品牌产品制造商国内外官方网站的相关信息一致）若投标人为联合体投标的，联合体中的其中一方盖章即可。</w:t>
            </w:r>
            <w:r>
              <w:rPr>
                <w:rFonts w:hint="eastAsia" w:ascii="宋体" w:hAnsi="宋体" w:eastAsia="宋体" w:cs="宋体"/>
                <w:color w:val="auto"/>
                <w:kern w:val="0"/>
                <w:sz w:val="24"/>
                <w:szCs w:val="24"/>
                <w:highlight w:val="none"/>
                <w:lang w:val="en-US" w:eastAsia="zh-CN" w:bidi="ar"/>
              </w:rPr>
              <w:t>未按要求提供的不得分。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5B16CAC4">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3</w:t>
            </w:r>
          </w:p>
        </w:tc>
      </w:tr>
      <w:tr w14:paraId="2C5A807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211DD53">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14</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04643353">
            <w:pPr>
              <w:keepNext w:val="0"/>
              <w:keepLines w:val="0"/>
              <w:widowControl/>
              <w:suppressLineNumbers w:val="0"/>
              <w:spacing w:before="0" w:beforeAutospacing="0" w:after="0" w:afterAutospacing="0" w:line="360" w:lineRule="auto"/>
              <w:ind w:left="0" w:right="0"/>
              <w:jc w:val="left"/>
              <w:textAlignment w:val="auto"/>
              <w:rPr>
                <w:rFonts w:hint="eastAsia" w:ascii="宋体" w:hAnsi="宋体" w:eastAsia="宋体" w:cs="宋体"/>
                <w:i w:val="0"/>
                <w:iCs w:val="0"/>
                <w:color w:val="auto"/>
                <w:kern w:val="0"/>
                <w:sz w:val="24"/>
                <w:szCs w:val="24"/>
                <w:highlight w:val="none"/>
                <w:u w:val="none"/>
                <w:lang w:val="en-US" w:eastAsia="zh-CN" w:bidi="ar"/>
              </w:rPr>
            </w:pPr>
            <w:r>
              <w:rPr>
                <w:rFonts w:hint="default" w:ascii="宋体" w:hAnsi="宋体" w:eastAsia="宋体" w:cs="宋体"/>
                <w:color w:val="auto"/>
                <w:kern w:val="0"/>
                <w:sz w:val="24"/>
                <w:szCs w:val="24"/>
                <w:highlight w:val="none"/>
                <w:lang w:val="en-US" w:eastAsia="zh-CN" w:bidi="ar"/>
              </w:rPr>
              <w:t>根据投标设备中品目号1-3的复写能力(单位：份/联)进行评价</w:t>
            </w:r>
            <w:r>
              <w:rPr>
                <w:rFonts w:hint="default" w:ascii="宋体" w:hAnsi="宋体" w:cs="宋体"/>
                <w:color w:val="auto"/>
                <w:kern w:val="0"/>
                <w:sz w:val="24"/>
                <w:szCs w:val="24"/>
                <w:highlight w:val="none"/>
                <w:lang w:eastAsia="zh-CN" w:bidi="ar"/>
              </w:rPr>
              <w:t>:</w:t>
            </w:r>
            <w:r>
              <w:rPr>
                <w:rFonts w:hint="default" w:ascii="宋体" w:hAnsi="宋体" w:eastAsia="宋体" w:cs="宋体"/>
                <w:color w:val="auto"/>
                <w:kern w:val="0"/>
                <w:sz w:val="24"/>
                <w:szCs w:val="24"/>
                <w:highlight w:val="none"/>
                <w:lang w:val="en-US" w:eastAsia="zh-CN" w:bidi="ar"/>
              </w:rPr>
              <w:t>根据各个投标人所投标设备的复写能力(单位：份/联)进行评分。复写能力(单位：份/联)≥</w:t>
            </w:r>
            <w:r>
              <w:rPr>
                <w:rFonts w:hint="eastAsia" w:ascii="宋体" w:hAnsi="宋体" w:eastAsia="宋体" w:cs="宋体"/>
                <w:color w:val="auto"/>
                <w:kern w:val="0"/>
                <w:sz w:val="24"/>
                <w:szCs w:val="24"/>
                <w:highlight w:val="none"/>
                <w:lang w:val="en-US" w:eastAsia="zh-CN" w:bidi="ar"/>
              </w:rPr>
              <w:t>1+6</w:t>
            </w:r>
            <w:r>
              <w:rPr>
                <w:rFonts w:hint="default" w:ascii="宋体" w:hAnsi="宋体" w:eastAsia="宋体" w:cs="宋体"/>
                <w:color w:val="auto"/>
                <w:kern w:val="0"/>
                <w:sz w:val="24"/>
                <w:szCs w:val="24"/>
                <w:highlight w:val="none"/>
                <w:lang w:val="en-US" w:eastAsia="zh-CN" w:bidi="ar"/>
              </w:rPr>
              <w:t>得3分，</w:t>
            </w:r>
            <w:r>
              <w:rPr>
                <w:rFonts w:hint="eastAsia" w:ascii="宋体" w:hAnsi="宋体" w:eastAsia="宋体" w:cs="宋体"/>
                <w:color w:val="auto"/>
                <w:kern w:val="0"/>
                <w:sz w:val="24"/>
                <w:szCs w:val="24"/>
                <w:highlight w:val="none"/>
                <w:lang w:val="en-US" w:eastAsia="zh-CN" w:bidi="ar"/>
              </w:rPr>
              <w:t>1+4</w:t>
            </w:r>
            <w:r>
              <w:rPr>
                <w:rFonts w:hint="default" w:ascii="宋体" w:hAnsi="宋体" w:eastAsia="宋体" w:cs="宋体"/>
                <w:color w:val="auto"/>
                <w:kern w:val="0"/>
                <w:sz w:val="24"/>
                <w:szCs w:val="24"/>
                <w:highlight w:val="none"/>
                <w:lang w:val="en-US" w:eastAsia="zh-CN" w:bidi="ar"/>
              </w:rPr>
              <w:t>≤复写能力(单位：份/联)＜</w:t>
            </w:r>
            <w:r>
              <w:rPr>
                <w:rFonts w:hint="eastAsia" w:ascii="宋体" w:hAnsi="宋体" w:eastAsia="宋体" w:cs="宋体"/>
                <w:color w:val="auto"/>
                <w:kern w:val="0"/>
                <w:sz w:val="24"/>
                <w:szCs w:val="24"/>
                <w:highlight w:val="none"/>
                <w:lang w:val="en-US" w:eastAsia="zh-CN" w:bidi="ar"/>
              </w:rPr>
              <w:t>1+6</w:t>
            </w:r>
            <w:r>
              <w:rPr>
                <w:rFonts w:hint="default" w:ascii="宋体" w:hAnsi="宋体" w:eastAsia="宋体" w:cs="宋体"/>
                <w:color w:val="auto"/>
                <w:kern w:val="0"/>
                <w:sz w:val="24"/>
                <w:szCs w:val="24"/>
                <w:highlight w:val="none"/>
                <w:lang w:val="en-US" w:eastAsia="zh-CN" w:bidi="ar"/>
              </w:rPr>
              <w:t>得2分，其余得0分。（投标人需提供加盖投标人公章的产品彩页或产品详细参数清单</w:t>
            </w:r>
            <w:r>
              <w:rPr>
                <w:rFonts w:hint="eastAsia" w:ascii="宋体" w:hAnsi="宋体" w:eastAsia="宋体" w:cs="宋体"/>
                <w:color w:val="auto"/>
                <w:kern w:val="0"/>
                <w:sz w:val="24"/>
                <w:szCs w:val="24"/>
                <w:highlight w:val="none"/>
                <w:lang w:val="en-US" w:eastAsia="zh-CN" w:bidi="ar"/>
              </w:rPr>
              <w:t>复印</w:t>
            </w:r>
            <w:r>
              <w:rPr>
                <w:rFonts w:hint="default" w:ascii="宋体" w:hAnsi="宋体" w:eastAsia="宋体" w:cs="宋体"/>
                <w:color w:val="auto"/>
                <w:kern w:val="0"/>
                <w:sz w:val="24"/>
                <w:szCs w:val="24"/>
                <w:highlight w:val="none"/>
                <w:lang w:val="en-US" w:eastAsia="zh-CN" w:bidi="ar"/>
              </w:rPr>
              <w:t>件，以产品彩页或产品详细参数清单的复写能力参数为准，投标人应保证产品彩页或产品详细参数清单所注明的相关技术指标与投标品牌产品制造商国内外官方网站的相关信息一致）若投标人为联合体投标的，联合体中的其中一方盖章即可。</w:t>
            </w:r>
            <w:r>
              <w:rPr>
                <w:rFonts w:hint="eastAsia" w:ascii="宋体" w:hAnsi="宋体" w:eastAsia="宋体" w:cs="宋体"/>
                <w:color w:val="auto"/>
                <w:kern w:val="0"/>
                <w:sz w:val="24"/>
                <w:szCs w:val="24"/>
                <w:highlight w:val="none"/>
                <w:lang w:val="en-US" w:eastAsia="zh-CN" w:bidi="ar"/>
              </w:rPr>
              <w:t>未按要求提供的不得分。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293ED72E">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3</w:t>
            </w:r>
          </w:p>
        </w:tc>
      </w:tr>
      <w:tr w14:paraId="506812C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421E6B5">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15</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2E917B81">
            <w:pPr>
              <w:keepNext w:val="0"/>
              <w:keepLines w:val="0"/>
              <w:widowControl/>
              <w:suppressLineNumbers w:val="0"/>
              <w:spacing w:before="0" w:beforeAutospacing="0" w:after="0" w:afterAutospacing="0" w:line="360" w:lineRule="auto"/>
              <w:ind w:left="0" w:right="0"/>
              <w:jc w:val="left"/>
              <w:textAlignment w:val="auto"/>
              <w:rPr>
                <w:rFonts w:hint="eastAsia" w:ascii="宋体" w:hAnsi="宋体" w:eastAsia="宋体" w:cs="宋体"/>
                <w:i w:val="0"/>
                <w:iCs w:val="0"/>
                <w:color w:val="auto"/>
                <w:kern w:val="0"/>
                <w:sz w:val="24"/>
                <w:szCs w:val="24"/>
                <w:highlight w:val="none"/>
                <w:u w:val="none"/>
                <w:lang w:val="en-US" w:eastAsia="zh-CN" w:bidi="ar"/>
              </w:rPr>
            </w:pPr>
            <w:r>
              <w:rPr>
                <w:rFonts w:hint="default" w:ascii="宋体" w:hAnsi="宋体" w:eastAsia="宋体" w:cs="宋体"/>
                <w:color w:val="auto"/>
                <w:kern w:val="0"/>
                <w:sz w:val="24"/>
                <w:szCs w:val="24"/>
                <w:highlight w:val="none"/>
                <w:lang w:val="en-US" w:eastAsia="zh-CN" w:bidi="ar"/>
              </w:rPr>
              <w:t>根据投标设备中品目号1-4的复写能力(单位：份/联)进行评价</w:t>
            </w:r>
            <w:r>
              <w:rPr>
                <w:rFonts w:hint="default" w:ascii="宋体" w:hAnsi="宋体" w:cs="宋体"/>
                <w:color w:val="auto"/>
                <w:kern w:val="0"/>
                <w:sz w:val="24"/>
                <w:szCs w:val="24"/>
                <w:highlight w:val="none"/>
                <w:lang w:eastAsia="zh-CN" w:bidi="ar"/>
              </w:rPr>
              <w:t>:</w:t>
            </w:r>
            <w:r>
              <w:rPr>
                <w:rFonts w:hint="default" w:ascii="宋体" w:hAnsi="宋体" w:eastAsia="宋体" w:cs="宋体"/>
                <w:color w:val="auto"/>
                <w:kern w:val="0"/>
                <w:sz w:val="24"/>
                <w:szCs w:val="24"/>
                <w:highlight w:val="none"/>
                <w:lang w:val="en-US" w:eastAsia="zh-CN" w:bidi="ar"/>
              </w:rPr>
              <w:t>根据各个投标人所投标设备的复写能力(单位：份/联)进行评分。复写能力(单位：份/联)≥</w:t>
            </w:r>
            <w:r>
              <w:rPr>
                <w:rFonts w:hint="eastAsia" w:ascii="宋体" w:hAnsi="宋体" w:eastAsia="宋体" w:cs="宋体"/>
                <w:color w:val="auto"/>
                <w:kern w:val="0"/>
                <w:sz w:val="24"/>
                <w:szCs w:val="24"/>
                <w:highlight w:val="none"/>
                <w:lang w:val="en-US" w:eastAsia="zh-CN" w:bidi="ar"/>
              </w:rPr>
              <w:t>1+6</w:t>
            </w:r>
            <w:r>
              <w:rPr>
                <w:rFonts w:hint="default" w:ascii="宋体" w:hAnsi="宋体" w:eastAsia="宋体" w:cs="宋体"/>
                <w:color w:val="auto"/>
                <w:kern w:val="0"/>
                <w:sz w:val="24"/>
                <w:szCs w:val="24"/>
                <w:highlight w:val="none"/>
                <w:lang w:val="en-US" w:eastAsia="zh-CN" w:bidi="ar"/>
              </w:rPr>
              <w:t>得3分，</w:t>
            </w:r>
            <w:r>
              <w:rPr>
                <w:rFonts w:hint="eastAsia" w:ascii="宋体" w:hAnsi="宋体" w:eastAsia="宋体" w:cs="宋体"/>
                <w:color w:val="auto"/>
                <w:kern w:val="0"/>
                <w:sz w:val="24"/>
                <w:szCs w:val="24"/>
                <w:highlight w:val="none"/>
                <w:lang w:val="en-US" w:eastAsia="zh-CN" w:bidi="ar"/>
              </w:rPr>
              <w:t>1+4</w:t>
            </w:r>
            <w:r>
              <w:rPr>
                <w:rFonts w:hint="default" w:ascii="宋体" w:hAnsi="宋体" w:eastAsia="宋体" w:cs="宋体"/>
                <w:color w:val="auto"/>
                <w:kern w:val="0"/>
                <w:sz w:val="24"/>
                <w:szCs w:val="24"/>
                <w:highlight w:val="none"/>
                <w:lang w:val="en-US" w:eastAsia="zh-CN" w:bidi="ar"/>
              </w:rPr>
              <w:t>≤复写能力(单位：份/联)＜</w:t>
            </w:r>
            <w:r>
              <w:rPr>
                <w:rFonts w:hint="eastAsia" w:ascii="宋体" w:hAnsi="宋体" w:eastAsia="宋体" w:cs="宋体"/>
                <w:color w:val="auto"/>
                <w:kern w:val="0"/>
                <w:sz w:val="24"/>
                <w:szCs w:val="24"/>
                <w:highlight w:val="none"/>
                <w:lang w:val="en-US" w:eastAsia="zh-CN" w:bidi="ar"/>
              </w:rPr>
              <w:t>1+6</w:t>
            </w:r>
            <w:r>
              <w:rPr>
                <w:rFonts w:hint="default" w:ascii="宋体" w:hAnsi="宋体" w:eastAsia="宋体" w:cs="宋体"/>
                <w:color w:val="auto"/>
                <w:kern w:val="0"/>
                <w:sz w:val="24"/>
                <w:szCs w:val="24"/>
                <w:highlight w:val="none"/>
                <w:lang w:val="en-US" w:eastAsia="zh-CN" w:bidi="ar"/>
              </w:rPr>
              <w:t>得2分，其余得0分。（投标人需提供加盖投标人公章的产品彩页或产品详细参数清单</w:t>
            </w:r>
            <w:r>
              <w:rPr>
                <w:rFonts w:hint="eastAsia" w:ascii="宋体" w:hAnsi="宋体" w:eastAsia="宋体" w:cs="宋体"/>
                <w:color w:val="auto"/>
                <w:kern w:val="0"/>
                <w:sz w:val="24"/>
                <w:szCs w:val="24"/>
                <w:highlight w:val="none"/>
                <w:lang w:val="en-US" w:eastAsia="zh-CN" w:bidi="ar"/>
              </w:rPr>
              <w:t>复印</w:t>
            </w:r>
            <w:r>
              <w:rPr>
                <w:rFonts w:hint="default" w:ascii="宋体" w:hAnsi="宋体" w:eastAsia="宋体" w:cs="宋体"/>
                <w:color w:val="auto"/>
                <w:kern w:val="0"/>
                <w:sz w:val="24"/>
                <w:szCs w:val="24"/>
                <w:highlight w:val="none"/>
                <w:lang w:val="en-US" w:eastAsia="zh-CN" w:bidi="ar"/>
              </w:rPr>
              <w:t>件，以产品彩页或产品详细参数清单的复写能力参数为准，投标人应保证产品彩页或产品详细参数清单所注明的相关技术指标与投标品牌产品制造商国内外官方网站的相关信息一致）若投标人为联合体投标的，联合体中的其中一方盖章即可。</w:t>
            </w:r>
            <w:r>
              <w:rPr>
                <w:rFonts w:hint="eastAsia" w:ascii="宋体" w:hAnsi="宋体" w:eastAsia="宋体" w:cs="宋体"/>
                <w:color w:val="auto"/>
                <w:kern w:val="0"/>
                <w:sz w:val="24"/>
                <w:szCs w:val="24"/>
                <w:highlight w:val="none"/>
                <w:lang w:val="en-US" w:eastAsia="zh-CN" w:bidi="ar"/>
              </w:rPr>
              <w:t>未按要求提供的不得分。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13A23676">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3</w:t>
            </w:r>
          </w:p>
        </w:tc>
      </w:tr>
    </w:tbl>
    <w:p w14:paraId="5C3EB90C">
      <w:pPr>
        <w:tabs>
          <w:tab w:val="left" w:pos="-1080"/>
          <w:tab w:val="left" w:pos="180"/>
          <w:tab w:val="left" w:pos="1080"/>
        </w:tabs>
        <w:spacing w:line="360" w:lineRule="auto"/>
        <w:rPr>
          <w:rFonts w:hint="eastAsia" w:ascii="宋体" w:hAnsi="宋体" w:eastAsia="宋体" w:cs="宋体"/>
          <w:color w:val="auto"/>
          <w:sz w:val="24"/>
          <w:szCs w:val="24"/>
          <w:highlight w:val="none"/>
        </w:rPr>
      </w:pPr>
    </w:p>
    <w:p w14:paraId="36D37897">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（二）商务评分(F2)：按</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rPr>
        <w:t>分评分法，商务评分考虑下列因素：</w:t>
      </w:r>
    </w:p>
    <w:tbl>
      <w:tblPr>
        <w:tblStyle w:val="14"/>
        <w:tblW w:w="0" w:type="auto"/>
        <w:tblInd w:w="0" w:type="dxa"/>
        <w:tblLayout w:type="fixed"/>
        <w:tblCellMar>
          <w:top w:w="0" w:type="dxa"/>
          <w:left w:w="108" w:type="dxa"/>
          <w:bottom w:w="0" w:type="dxa"/>
          <w:right w:w="108" w:type="dxa"/>
        </w:tblCellMar>
      </w:tblPr>
      <w:tblGrid>
        <w:gridCol w:w="883"/>
        <w:gridCol w:w="6838"/>
        <w:gridCol w:w="898"/>
      </w:tblGrid>
      <w:tr w14:paraId="51D214E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F258C0D">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6838" w:type="dxa"/>
            <w:tcBorders>
              <w:top w:val="single" w:color="auto" w:sz="4" w:space="0"/>
              <w:left w:val="single" w:color="auto" w:sz="4" w:space="0"/>
              <w:bottom w:val="single" w:color="auto" w:sz="4" w:space="0"/>
              <w:right w:val="single" w:color="auto" w:sz="4" w:space="0"/>
            </w:tcBorders>
            <w:noWrap w:val="0"/>
            <w:vAlign w:val="center"/>
          </w:tcPr>
          <w:p w14:paraId="6D0A1232">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606E2A2B">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w:t>
            </w:r>
          </w:p>
          <w:p w14:paraId="3CEE04D3">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分值</w:t>
            </w:r>
          </w:p>
        </w:tc>
      </w:tr>
      <w:tr w14:paraId="15EB094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3B44BF3">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1</w:t>
            </w:r>
          </w:p>
        </w:tc>
        <w:tc>
          <w:tcPr>
            <w:tcW w:w="6838" w:type="dxa"/>
            <w:tcBorders>
              <w:top w:val="single" w:color="auto" w:sz="4" w:space="0"/>
              <w:left w:val="single" w:color="auto" w:sz="4" w:space="0"/>
              <w:bottom w:val="single" w:color="auto" w:sz="4" w:space="0"/>
              <w:right w:val="single" w:color="auto" w:sz="4" w:space="0"/>
            </w:tcBorders>
            <w:noWrap w:val="0"/>
            <w:vAlign w:val="top"/>
          </w:tcPr>
          <w:p w14:paraId="20C25BB2">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根据投标人是否为投标的品目号1-1至1-4全部设备的制造商或制造商的关联企业或联合体进行评价：投标人为投标的品目号1-1至1-4全部设备的制造商或制造商的关联企业得3分；投标人为投标的品目号1-1至1-4全部设备的制造商联合体投标得2分；其余情况得0分。备注：联合体投标的，联合体一方必须是投标设备的制造商或制造商的关联企业。凡属制造商的关联企业，其关联关系应符合《企业会计准则第36号—关联方披露（2006）》（财会[2006]3号）中“关联方关系”的要求，投标人应在投标文件中按后附格式提供《关联企业证明》复印件，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67B11CE2">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3</w:t>
            </w:r>
          </w:p>
        </w:tc>
      </w:tr>
      <w:tr w14:paraId="542CA3D9">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2382FFE">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2</w:t>
            </w:r>
          </w:p>
        </w:tc>
        <w:tc>
          <w:tcPr>
            <w:tcW w:w="6838" w:type="dxa"/>
            <w:tcBorders>
              <w:top w:val="single" w:color="auto" w:sz="4" w:space="0"/>
              <w:left w:val="single" w:color="auto" w:sz="4" w:space="0"/>
              <w:bottom w:val="single" w:color="auto" w:sz="4" w:space="0"/>
              <w:right w:val="single" w:color="auto" w:sz="4" w:space="0"/>
            </w:tcBorders>
            <w:noWrap w:val="0"/>
            <w:vAlign w:val="top"/>
          </w:tcPr>
          <w:p w14:paraId="3EDEBCE8">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根据投标人对设备故障修复响应速度并能够有效解决采购人使用需求的进行评分：能够在15分钟内响应、2小时内到达现场、8小时内修复，未能在8小时内修复的，予以更换或提供代用设备的得3分；能够在30分钟内响应、3小时内到达现场、8小时内修复，未能在8小时内修复的，予以更换或提供代用设备的得2分，其它不得分,投标人需提供书面承诺函并加盖投标人公章。</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2B2D9BC2">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3</w:t>
            </w:r>
          </w:p>
        </w:tc>
      </w:tr>
      <w:tr w14:paraId="0FA5FC75">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4649BD6">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3</w:t>
            </w:r>
          </w:p>
        </w:tc>
        <w:tc>
          <w:tcPr>
            <w:tcW w:w="6838" w:type="dxa"/>
            <w:tcBorders>
              <w:top w:val="single" w:color="auto" w:sz="4" w:space="0"/>
              <w:left w:val="single" w:color="auto" w:sz="4" w:space="0"/>
              <w:bottom w:val="single" w:color="auto" w:sz="4" w:space="0"/>
              <w:right w:val="single" w:color="auto" w:sz="4" w:space="0"/>
            </w:tcBorders>
            <w:noWrap w:val="0"/>
            <w:vAlign w:val="top"/>
          </w:tcPr>
          <w:p w14:paraId="4F81471E">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根据投标的品目号1-1至1-4的保修期进行评分，品目号1-1至1-4的保修期</w:t>
            </w:r>
            <w:r>
              <w:rPr>
                <w:rFonts w:hint="default" w:ascii="Arial" w:hAnsi="Arial" w:eastAsia="宋体" w:cs="Arial"/>
                <w:i w:val="0"/>
                <w:iCs w:val="0"/>
                <w:color w:val="auto"/>
                <w:kern w:val="0"/>
                <w:sz w:val="24"/>
                <w:szCs w:val="24"/>
                <w:highlight w:val="none"/>
                <w:u w:val="none"/>
                <w:lang w:val="en-US" w:eastAsia="zh-CN" w:bidi="ar"/>
              </w:rPr>
              <w:t>≥</w:t>
            </w:r>
            <w:r>
              <w:rPr>
                <w:rFonts w:hint="eastAsia" w:ascii="宋体" w:hAnsi="宋体" w:eastAsia="宋体" w:cs="宋体"/>
                <w:i w:val="0"/>
                <w:iCs w:val="0"/>
                <w:color w:val="auto"/>
                <w:kern w:val="0"/>
                <w:sz w:val="24"/>
                <w:szCs w:val="24"/>
                <w:highlight w:val="none"/>
                <w:u w:val="none"/>
                <w:lang w:val="en-US" w:eastAsia="zh-CN" w:bidi="ar"/>
              </w:rPr>
              <w:t>3年得2分，其余情况得0分。须提供书面承诺函并加盖投标人公章，否则不得分。若投标人为联合体投标的，联合体中的其中一方盖章即可。</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09458467">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2</w:t>
            </w:r>
          </w:p>
        </w:tc>
      </w:tr>
      <w:tr w14:paraId="7B5E0DC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2A2A023">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4</w:t>
            </w:r>
          </w:p>
        </w:tc>
        <w:tc>
          <w:tcPr>
            <w:tcW w:w="6838" w:type="dxa"/>
            <w:tcBorders>
              <w:top w:val="single" w:color="auto" w:sz="4" w:space="0"/>
              <w:left w:val="single" w:color="auto" w:sz="4" w:space="0"/>
              <w:bottom w:val="single" w:color="auto" w:sz="4" w:space="0"/>
              <w:right w:val="single" w:color="auto" w:sz="4" w:space="0"/>
            </w:tcBorders>
            <w:noWrap w:val="0"/>
            <w:vAlign w:val="top"/>
          </w:tcPr>
          <w:p w14:paraId="30B777CA">
            <w:pPr>
              <w:keepNext w:val="0"/>
              <w:keepLines w:val="0"/>
              <w:suppressLineNumbers w:val="0"/>
              <w:tabs>
                <w:tab w:val="left" w:pos="-1080"/>
                <w:tab w:val="left" w:pos="180"/>
                <w:tab w:val="left" w:pos="1080"/>
              </w:tabs>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24"/>
                <w:szCs w:val="24"/>
                <w:highlight w:val="none"/>
                <w:u w:val="none"/>
                <w:lang w:val="en-US" w:eastAsia="zh-CN" w:bidi="ar"/>
              </w:rPr>
              <w:t>投标人提供自2022年1月1日至投标截止时间获得针式打印机项目采购人（最终用户）盖章的服务满意度调查资料（以满意度调查资料盖章落款时间为准），且满意度调查结果为满意的，每提供1份得1分，最高得2分，须提供客户满意度调查复印件，否则不得分。</w:t>
            </w:r>
          </w:p>
        </w:tc>
        <w:tc>
          <w:tcPr>
            <w:tcW w:w="898" w:type="dxa"/>
            <w:tcBorders>
              <w:top w:val="single" w:color="auto" w:sz="4" w:space="0"/>
              <w:left w:val="single" w:color="auto" w:sz="4" w:space="0"/>
              <w:bottom w:val="single" w:color="auto" w:sz="4" w:space="0"/>
              <w:right w:val="single" w:color="auto" w:sz="4" w:space="0"/>
            </w:tcBorders>
            <w:noWrap w:val="0"/>
            <w:vAlign w:val="center"/>
          </w:tcPr>
          <w:p w14:paraId="58D02C0F">
            <w:pPr>
              <w:keepNext w:val="0"/>
              <w:keepLines w:val="0"/>
              <w:suppressLineNumbers w:val="0"/>
              <w:tabs>
                <w:tab w:val="left" w:pos="-1080"/>
                <w:tab w:val="left" w:pos="180"/>
                <w:tab w:val="left" w:pos="1080"/>
              </w:tabs>
              <w:spacing w:before="0" w:beforeAutospacing="0" w:after="0" w:afterAutospacing="0" w:line="360" w:lineRule="auto"/>
              <w:ind w:left="0" w:right="0"/>
              <w:jc w:val="center"/>
              <w:rPr>
                <w:rFonts w:hint="eastAsia"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2</w:t>
            </w:r>
          </w:p>
        </w:tc>
      </w:tr>
    </w:tbl>
    <w:p w14:paraId="51C1A0FC">
      <w:pPr>
        <w:tabs>
          <w:tab w:val="left" w:pos="-1080"/>
          <w:tab w:val="left" w:pos="180"/>
          <w:tab w:val="left" w:pos="1080"/>
        </w:tabs>
        <w:spacing w:line="360" w:lineRule="auto"/>
        <w:rPr>
          <w:rFonts w:hint="eastAsia" w:ascii="宋体" w:hAnsi="宋体" w:eastAsia="宋体" w:cs="宋体"/>
          <w:color w:val="auto"/>
          <w:sz w:val="24"/>
          <w:szCs w:val="24"/>
          <w:highlight w:val="none"/>
        </w:rPr>
      </w:pPr>
    </w:p>
    <w:p w14:paraId="381385D1">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（三）价格评分(F3)：按</w:t>
      </w:r>
      <w:r>
        <w:rPr>
          <w:rFonts w:hint="eastAsia" w:ascii="宋体" w:hAnsi="宋体" w:cs="宋体"/>
          <w:color w:val="auto"/>
          <w:sz w:val="24"/>
          <w:szCs w:val="24"/>
          <w:highlight w:val="none"/>
          <w:lang w:val="en-US" w:eastAsia="zh-CN"/>
        </w:rPr>
        <w:t>45</w:t>
      </w:r>
      <w:r>
        <w:rPr>
          <w:rFonts w:hint="eastAsia" w:ascii="宋体" w:hAnsi="宋体" w:eastAsia="宋体" w:cs="宋体"/>
          <w:color w:val="auto"/>
          <w:sz w:val="24"/>
          <w:szCs w:val="24"/>
          <w:highlight w:val="none"/>
        </w:rPr>
        <w:t>分评分法，评标委员会对各有效标投标报价进行审核确定评标价，并将最低有效标的评标价设为基准价，定其价格得分为</w:t>
      </w:r>
      <w:r>
        <w:rPr>
          <w:rFonts w:hint="eastAsia" w:ascii="宋体" w:hAnsi="宋体" w:cs="宋体"/>
          <w:color w:val="auto"/>
          <w:sz w:val="24"/>
          <w:szCs w:val="24"/>
          <w:highlight w:val="none"/>
          <w:lang w:val="en-US" w:eastAsia="zh-CN"/>
        </w:rPr>
        <w:t>45</w:t>
      </w:r>
      <w:r>
        <w:rPr>
          <w:rFonts w:hint="eastAsia" w:ascii="宋体" w:hAnsi="宋体" w:eastAsia="宋体" w:cs="宋体"/>
          <w:color w:val="auto"/>
          <w:sz w:val="24"/>
          <w:szCs w:val="24"/>
          <w:highlight w:val="none"/>
        </w:rPr>
        <w:t>分。按公式：价格得分＝</w:t>
      </w:r>
      <w:r>
        <w:rPr>
          <w:rFonts w:hint="eastAsia" w:ascii="宋体" w:hAnsi="宋体" w:cs="宋体"/>
          <w:color w:val="auto"/>
          <w:sz w:val="24"/>
          <w:szCs w:val="24"/>
          <w:highlight w:val="none"/>
          <w:lang w:val="en-US" w:eastAsia="zh-CN"/>
        </w:rPr>
        <w:t>45</w:t>
      </w:r>
      <w:r>
        <w:rPr>
          <w:rFonts w:hint="eastAsia" w:ascii="宋体" w:hAnsi="宋体" w:eastAsia="宋体" w:cs="宋体"/>
          <w:color w:val="auto"/>
          <w:sz w:val="24"/>
          <w:szCs w:val="24"/>
          <w:highlight w:val="none"/>
        </w:rPr>
        <w:sym w:font="Symbol" w:char="00B4"/>
      </w:r>
      <w:r>
        <w:rPr>
          <w:rFonts w:hint="eastAsia" w:ascii="宋体" w:hAnsi="宋体" w:eastAsia="宋体" w:cs="宋体"/>
          <w:color w:val="auto"/>
          <w:sz w:val="24"/>
          <w:szCs w:val="24"/>
          <w:highlight w:val="none"/>
        </w:rPr>
        <w:t xml:space="preserve"> （基准价/各个通过审核的有效投标人的评标价）计算，由此算出各个通过审核的有效投标人的价格得分。</w:t>
      </w:r>
    </w:p>
    <w:p w14:paraId="493FF456">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“小型和微型企业产品”的评分政策：投标人提供的货物既有中型企业制造，也有小微企业制造的，不享受办法规定的小微企业扶持政策。</w:t>
      </w:r>
    </w:p>
    <w:p w14:paraId="19E46F37">
      <w:pPr>
        <w:pStyle w:val="5"/>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对其提供的小型或微型企业产品的投标报价给予</w:t>
      </w:r>
      <w:r>
        <w:rPr>
          <w:rFonts w:hint="eastAsia" w:hAnsi="宋体" w:cs="宋体"/>
          <w:color w:val="auto"/>
          <w:sz w:val="24"/>
          <w:szCs w:val="24"/>
          <w:highlight w:val="none"/>
          <w:lang w:val="en-US" w:eastAsia="zh-CN"/>
        </w:rPr>
        <w:t>15</w:t>
      </w:r>
      <w:r>
        <w:rPr>
          <w:rFonts w:hint="eastAsia" w:hAnsi="宋体" w:eastAsia="宋体" w:cs="宋体"/>
          <w:color w:val="auto"/>
          <w:sz w:val="24"/>
          <w:szCs w:val="24"/>
          <w:highlight w:val="none"/>
        </w:rPr>
        <w:t>%的扣除，扣除后的价格作为该投标人的评标价参与价格评分。</w:t>
      </w:r>
    </w:p>
    <w:p w14:paraId="58DD451D">
      <w:pPr>
        <w:pStyle w:val="5"/>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、采购代理机构应当对联合体或者大中型企业的报价给予6%的扣除，用扣除后的价格参加评审。</w:t>
      </w:r>
    </w:p>
    <w:p w14:paraId="66F8B507">
      <w:pPr>
        <w:pStyle w:val="13"/>
        <w:numPr>
          <w:ilvl w:val="-1"/>
          <w:numId w:val="0"/>
        </w:numPr>
        <w:spacing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517D364B">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2、</w:t>
      </w:r>
      <w:r>
        <w:rPr>
          <w:rFonts w:hint="eastAsia" w:ascii="宋体" w:hAnsi="宋体" w:eastAsia="宋体" w:cs="宋体"/>
          <w:color w:val="auto"/>
          <w:sz w:val="24"/>
          <w:szCs w:val="24"/>
          <w:highlight w:val="none"/>
          <w:lang w:val="en-US" w:eastAsia="zh-CN"/>
        </w:rPr>
        <w:t>节能、环境标志产品价格扣除：</w:t>
      </w:r>
    </w:p>
    <w:p w14:paraId="2FCF6950">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投标人须对优先采购产品和非优先采购产品进行分项报价，非优先采购产品的报价不得享受给予节能产品、环境标志产品的价格扣除优惠。</w:t>
      </w:r>
    </w:p>
    <w:p w14:paraId="5D7C864F">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具体要求如下：</w:t>
      </w:r>
    </w:p>
    <w:p w14:paraId="34CFFC1E">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21EDD7AE">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投标人应分别明确节能或环境标志产品的名称、数量、分项报价、总报价，并提供认证证书复印件，否则不予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若节能产品、环境标志产品认证证书不能反映产品具体信息的，须提供认证证书附件。</w:t>
      </w:r>
      <w:r>
        <w:rPr>
          <w:rFonts w:hint="eastAsia" w:ascii="宋体" w:hAnsi="宋体" w:eastAsia="宋体" w:cs="宋体"/>
          <w:color w:val="auto"/>
          <w:sz w:val="24"/>
          <w:szCs w:val="24"/>
          <w:highlight w:val="none"/>
        </w:rPr>
        <w:t>此外，若投标人对节能或环境标志产品的报价明显高于其他同类产品的报价，投标人应按评标委员会要求作出说明并提供相关证明材料，不能合理说明或不能提供相关证明材料的，不予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p>
    <w:p w14:paraId="2D8FEF75">
      <w:pPr>
        <w:widowControl/>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若节能、环境标志产品仅是构成投标产品的部件、组件或零件，则该投标产品不享受鼓励优惠政策。属于政府强制采购的节能产品不享受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1004B858">
      <w:p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四</w:t>
      </w:r>
      <w:r>
        <w:rPr>
          <w:rFonts w:hint="eastAsia" w:ascii="宋体" w:hAnsi="宋体" w:eastAsia="宋体" w:cs="宋体"/>
          <w:color w:val="auto"/>
          <w:sz w:val="24"/>
          <w:szCs w:val="24"/>
          <w:highlight w:val="none"/>
        </w:rPr>
        <w:t>）综合得分= F1+ F2 + F3 。</w:t>
      </w:r>
    </w:p>
    <w:p w14:paraId="115CD363">
      <w:pPr>
        <w:pStyle w:val="5"/>
        <w:spacing w:line="360" w:lineRule="auto"/>
        <w:ind w:firstLine="840"/>
        <w:rPr>
          <w:rFonts w:hint="eastAsia" w:hAnsi="宋体" w:eastAsia="宋体" w:cs="宋体"/>
          <w:bCs/>
          <w:color w:val="auto"/>
          <w:sz w:val="24"/>
          <w:szCs w:val="24"/>
          <w:highlight w:val="none"/>
        </w:rPr>
      </w:pPr>
      <w:r>
        <w:rPr>
          <w:rFonts w:hint="eastAsia" w:hAnsi="宋体" w:eastAsia="宋体" w:cs="宋体"/>
          <w:bCs/>
          <w:color w:val="auto"/>
          <w:sz w:val="24"/>
          <w:szCs w:val="24"/>
          <w:highlight w:val="none"/>
        </w:rPr>
        <w:t>备注：1、技术商务评分中涉及排名情况的评分由评标委员会根据各投标人投标文件的响应情况进行综合评议得出排名。</w:t>
      </w:r>
    </w:p>
    <w:p w14:paraId="1FB3C02C">
      <w:pPr>
        <w:pStyle w:val="5"/>
        <w:numPr>
          <w:ilvl w:val="0"/>
          <w:numId w:val="2"/>
        </w:numPr>
        <w:spacing w:line="360" w:lineRule="auto"/>
        <w:ind w:firstLine="720" w:firstLineChars="300"/>
        <w:rPr>
          <w:rFonts w:hint="eastAsia" w:hAnsi="宋体" w:eastAsia="宋体" w:cs="宋体"/>
          <w:color w:val="auto"/>
          <w:sz w:val="24"/>
          <w:szCs w:val="24"/>
          <w:highlight w:val="none"/>
        </w:rPr>
      </w:pPr>
      <w:r>
        <w:rPr>
          <w:rFonts w:hint="eastAsia" w:hAnsi="宋体" w:eastAsia="宋体" w:cs="宋体"/>
          <w:color w:val="auto"/>
          <w:sz w:val="24"/>
          <w:szCs w:val="24"/>
          <w:highlight w:val="none"/>
        </w:rPr>
        <w:t>业绩作为评分条件的，投标人须提供该业绩项目的中标（成交）公告（提供相关网站中标（成交）公告的下载网页的复印件及其网址）、中标（成交）通知书复印件、采购合同文本复印件，以及能够证明该业绩项目已经</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验收合格的相关证明文件复印件，原件备查；如未按招标文件要求提供该项业绩完整资料的，评标委员会对该项业绩将不予采信。</w:t>
      </w:r>
    </w:p>
    <w:p w14:paraId="460B3044">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2E4B3EFB">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1BD14E90">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0C570E45">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369653E1">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318BE23E">
      <w:pPr>
        <w:pStyle w:val="5"/>
        <w:numPr>
          <w:ilvl w:val="0"/>
          <w:numId w:val="0"/>
        </w:numPr>
        <w:spacing w:line="360" w:lineRule="auto"/>
        <w:ind w:firstLine="0" w:firstLineChars="0"/>
        <w:rPr>
          <w:rFonts w:hint="eastAsia" w:hAnsi="宋体" w:eastAsia="宋体" w:cs="宋体"/>
          <w:color w:val="auto"/>
          <w:sz w:val="24"/>
          <w:szCs w:val="24"/>
          <w:highlight w:val="none"/>
        </w:rPr>
      </w:pPr>
    </w:p>
    <w:p w14:paraId="71E8CC09">
      <w:pPr>
        <w:spacing w:line="360" w:lineRule="auto"/>
        <w:ind w:firstLine="1280" w:firstLineChars="400"/>
        <w:rPr>
          <w:rFonts w:hint="eastAsia" w:ascii="宋体" w:hAnsi="宋体" w:eastAsia="宋体" w:cs="宋体"/>
          <w:color w:val="auto"/>
          <w:sz w:val="32"/>
          <w:szCs w:val="32"/>
          <w:highlight w:val="none"/>
        </w:rPr>
      </w:pPr>
    </w:p>
    <w:p w14:paraId="0FEA1C5F">
      <w:pPr>
        <w:spacing w:line="360" w:lineRule="auto"/>
        <w:ind w:firstLine="0" w:firstLineChars="0"/>
        <w:rPr>
          <w:rFonts w:hint="eastAsia" w:ascii="宋体" w:hAnsi="宋体" w:eastAsia="宋体" w:cs="宋体"/>
          <w:color w:val="auto"/>
          <w:sz w:val="32"/>
          <w:szCs w:val="32"/>
          <w:highlight w:val="none"/>
        </w:rPr>
      </w:pPr>
    </w:p>
    <w:p w14:paraId="088E84F2">
      <w:pPr>
        <w:spacing w:line="360" w:lineRule="auto"/>
        <w:ind w:firstLine="0" w:firstLineChars="0"/>
        <w:rPr>
          <w:rFonts w:hint="eastAsia" w:ascii="宋体" w:hAnsi="宋体" w:eastAsia="宋体" w:cs="宋体"/>
          <w:color w:val="auto"/>
          <w:sz w:val="32"/>
          <w:szCs w:val="32"/>
          <w:highlight w:val="none"/>
        </w:rPr>
      </w:pPr>
    </w:p>
    <w:p w14:paraId="2C52D1EA">
      <w:pPr>
        <w:spacing w:line="360" w:lineRule="auto"/>
        <w:ind w:firstLine="1280" w:firstLineChars="400"/>
        <w:rPr>
          <w:rFonts w:hint="eastAsia" w:ascii="宋体" w:hAnsi="宋体" w:eastAsia="宋体" w:cs="宋体"/>
          <w:color w:val="auto"/>
          <w:sz w:val="32"/>
          <w:szCs w:val="32"/>
          <w:highlight w:val="none"/>
        </w:rPr>
      </w:pPr>
    </w:p>
    <w:p w14:paraId="136FC590">
      <w:pPr>
        <w:spacing w:line="360" w:lineRule="auto"/>
        <w:ind w:firstLine="1280" w:firstLineChars="400"/>
        <w:rPr>
          <w:rFonts w:hint="eastAsia" w:ascii="宋体" w:hAnsi="宋体" w:eastAsia="宋体" w:cs="宋体"/>
          <w:color w:val="auto"/>
          <w:sz w:val="32"/>
          <w:szCs w:val="32"/>
          <w:highlight w:val="none"/>
        </w:rPr>
      </w:pPr>
    </w:p>
    <w:p w14:paraId="2291ABEC">
      <w:pPr>
        <w:spacing w:line="360" w:lineRule="auto"/>
        <w:ind w:firstLine="1280" w:firstLineChars="400"/>
        <w:rPr>
          <w:rFonts w:hint="eastAsia" w:ascii="宋体" w:hAnsi="宋体" w:eastAsia="宋体" w:cs="宋体"/>
          <w:color w:val="auto"/>
          <w:sz w:val="32"/>
          <w:szCs w:val="32"/>
          <w:highlight w:val="none"/>
        </w:rPr>
      </w:pPr>
    </w:p>
    <w:p w14:paraId="673B8E1C">
      <w:pPr>
        <w:spacing w:line="360" w:lineRule="auto"/>
        <w:ind w:firstLine="0" w:firstLineChars="0"/>
        <w:rPr>
          <w:rFonts w:hint="eastAsia" w:ascii="宋体" w:hAnsi="宋体" w:eastAsia="宋体" w:cs="宋体"/>
          <w:color w:val="auto"/>
          <w:sz w:val="32"/>
          <w:szCs w:val="32"/>
          <w:highlight w:val="none"/>
        </w:rPr>
      </w:pPr>
    </w:p>
    <w:p w14:paraId="55F622B3">
      <w:pPr>
        <w:spacing w:line="360" w:lineRule="auto"/>
        <w:ind w:firstLine="1280" w:firstLineChars="4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投标人须知前附表4：中小企业优惠办法</w:t>
      </w:r>
    </w:p>
    <w:tbl>
      <w:tblPr>
        <w:tblStyle w:val="14"/>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
        <w:gridCol w:w="1672"/>
        <w:gridCol w:w="6051"/>
      </w:tblGrid>
      <w:tr w14:paraId="47015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519" w:type="pct"/>
            <w:noWrap w:val="0"/>
            <w:vAlign w:val="center"/>
          </w:tcPr>
          <w:p w14:paraId="2F19BB7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970" w:type="pct"/>
            <w:noWrap w:val="0"/>
            <w:vAlign w:val="center"/>
          </w:tcPr>
          <w:p w14:paraId="500E840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w:t>
            </w:r>
          </w:p>
        </w:tc>
        <w:tc>
          <w:tcPr>
            <w:tcW w:w="3510" w:type="pct"/>
            <w:noWrap w:val="0"/>
            <w:vAlign w:val="center"/>
          </w:tcPr>
          <w:p w14:paraId="6E21D96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5867B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519" w:type="pct"/>
            <w:noWrap w:val="0"/>
            <w:vAlign w:val="center"/>
          </w:tcPr>
          <w:p w14:paraId="013D585C">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w:t>
            </w:r>
          </w:p>
        </w:tc>
        <w:tc>
          <w:tcPr>
            <w:tcW w:w="970" w:type="pct"/>
            <w:noWrap w:val="0"/>
            <w:vAlign w:val="center"/>
          </w:tcPr>
          <w:p w14:paraId="488433BE">
            <w:pPr>
              <w:keepNext w:val="0"/>
              <w:keepLines w:val="0"/>
              <w:widowControl/>
              <w:suppressLineNumbers w:val="0"/>
              <w:spacing w:before="0" w:beforeAutospacing="0" w:after="0" w:afterAutospacing="0" w:line="360" w:lineRule="auto"/>
              <w:ind w:left="0" w:right="0"/>
              <w:jc w:val="both"/>
              <w:rPr>
                <w:rFonts w:hint="eastAsia" w:ascii="宋体" w:hAnsi="宋体" w:eastAsia="宋体" w:cs="宋体"/>
                <w:b/>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本项目是否属于预留份额专门面向中小企业采购活动</w:t>
            </w:r>
            <w:r>
              <w:rPr>
                <w:rFonts w:hint="eastAsia" w:ascii="宋体" w:hAnsi="宋体" w:eastAsia="宋体" w:cs="宋体"/>
                <w:b/>
                <w:color w:val="auto"/>
                <w:sz w:val="24"/>
                <w:szCs w:val="24"/>
                <w:highlight w:val="none"/>
              </w:rPr>
              <w:t>：</w:t>
            </w:r>
          </w:p>
        </w:tc>
        <w:tc>
          <w:tcPr>
            <w:tcW w:w="3510" w:type="pct"/>
            <w:noWrap w:val="0"/>
            <w:vAlign w:val="center"/>
          </w:tcPr>
          <w:p w14:paraId="71C91CA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否</w:t>
            </w:r>
          </w:p>
        </w:tc>
      </w:tr>
      <w:tr w14:paraId="0A535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519" w:type="pct"/>
            <w:noWrap w:val="0"/>
            <w:vAlign w:val="center"/>
          </w:tcPr>
          <w:p w14:paraId="1F59487F">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p>
        </w:tc>
        <w:tc>
          <w:tcPr>
            <w:tcW w:w="970" w:type="pct"/>
            <w:noWrap w:val="0"/>
            <w:vAlign w:val="center"/>
          </w:tcPr>
          <w:p w14:paraId="1B3C4F8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中小企业的认定标准</w:t>
            </w:r>
          </w:p>
        </w:tc>
        <w:tc>
          <w:tcPr>
            <w:tcW w:w="3510" w:type="pct"/>
            <w:noWrap w:val="0"/>
            <w:vAlign w:val="top"/>
          </w:tcPr>
          <w:p w14:paraId="27D7825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中小企业参加政府采购活动，应当出具《中小企业声明函》，否则不得享受相关中小企业扶持政策。</w:t>
            </w:r>
          </w:p>
          <w:p w14:paraId="2AC2027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须满足以下条件，才能认定为中小企业</w:t>
            </w:r>
            <w:r>
              <w:rPr>
                <w:rFonts w:hint="eastAsia" w:ascii="宋体" w:hAnsi="宋体" w:eastAsia="宋体" w:cs="宋体"/>
                <w:b/>
                <w:color w:val="auto"/>
                <w:sz w:val="24"/>
                <w:szCs w:val="24"/>
                <w:highlight w:val="none"/>
              </w:rPr>
              <w:t>（含中型、小型、微型企业，下同）</w:t>
            </w:r>
            <w:r>
              <w:rPr>
                <w:rFonts w:hint="eastAsia" w:ascii="宋体" w:hAnsi="宋体" w:eastAsia="宋体" w:cs="宋体"/>
                <w:color w:val="auto"/>
                <w:sz w:val="24"/>
                <w:szCs w:val="24"/>
                <w:highlight w:val="none"/>
              </w:rPr>
              <w:t>：</w:t>
            </w:r>
          </w:p>
          <w:p w14:paraId="3DA2D06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409F5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519" w:type="pct"/>
            <w:noWrap w:val="0"/>
            <w:vAlign w:val="center"/>
          </w:tcPr>
          <w:p w14:paraId="4E8DDAF0">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w:t>
            </w:r>
          </w:p>
        </w:tc>
        <w:tc>
          <w:tcPr>
            <w:tcW w:w="970" w:type="pct"/>
            <w:noWrap w:val="0"/>
            <w:vAlign w:val="center"/>
          </w:tcPr>
          <w:p w14:paraId="00E8A551">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优惠办法：</w:t>
            </w:r>
          </w:p>
        </w:tc>
        <w:tc>
          <w:tcPr>
            <w:tcW w:w="3510" w:type="pct"/>
            <w:tcBorders>
              <w:bottom w:val="single" w:color="auto" w:sz="4" w:space="0"/>
            </w:tcBorders>
            <w:noWrap w:val="0"/>
            <w:vAlign w:val="top"/>
          </w:tcPr>
          <w:p w14:paraId="092395ED">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投标人为中小企业（含中型、小型、微型企业，下同）：</w:t>
            </w:r>
          </w:p>
          <w:p w14:paraId="1675E079">
            <w:pPr>
              <w:keepNext w:val="0"/>
              <w:keepLines w:val="0"/>
              <w:suppressLineNumbers w:val="0"/>
              <w:spacing w:before="0" w:beforeAutospacing="0" w:after="0" w:afterAutospacing="0" w:line="360" w:lineRule="auto"/>
              <w:ind w:left="411" w:right="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①投标保证金：按招标文件约定数额的50%交纳</w:t>
            </w:r>
          </w:p>
          <w:p w14:paraId="738EFC77">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②履约保证金：按约定比例的50%支付（如果有的话）</w:t>
            </w:r>
          </w:p>
          <w:p w14:paraId="0814C5FC">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③</w:t>
            </w:r>
            <w:r>
              <w:rPr>
                <w:rStyle w:val="16"/>
                <w:rFonts w:hint="eastAsia" w:ascii="宋体" w:hAnsi="宋体" w:eastAsia="宋体" w:cs="宋体"/>
                <w:b w:val="0"/>
                <w:color w:val="auto"/>
                <w:kern w:val="0"/>
                <w:sz w:val="24"/>
                <w:szCs w:val="24"/>
                <w:highlight w:val="none"/>
              </w:rPr>
              <w:t>代理服务费</w:t>
            </w:r>
            <w:r>
              <w:rPr>
                <w:rFonts w:hint="eastAsia" w:ascii="宋体" w:hAnsi="宋体" w:eastAsia="宋体" w:cs="宋体"/>
                <w:color w:val="auto"/>
                <w:spacing w:val="-4"/>
                <w:sz w:val="24"/>
                <w:szCs w:val="24"/>
                <w:highlight w:val="none"/>
              </w:rPr>
              <w:t>：按招标文件规定的收费标准下调</w:t>
            </w:r>
            <w:r>
              <w:rPr>
                <w:rFonts w:hint="eastAsia" w:ascii="宋体" w:hAnsi="宋体" w:eastAsia="宋体" w:cs="宋体"/>
                <w:color w:val="auto"/>
                <w:spacing w:val="-4"/>
                <w:sz w:val="24"/>
                <w:szCs w:val="24"/>
                <w:highlight w:val="none"/>
                <w:lang w:val="en-US" w:eastAsia="zh-CN"/>
              </w:rPr>
              <w:t>1</w:t>
            </w:r>
            <w:r>
              <w:rPr>
                <w:rFonts w:hint="eastAsia" w:ascii="宋体" w:hAnsi="宋体" w:eastAsia="宋体" w:cs="宋体"/>
                <w:color w:val="auto"/>
                <w:spacing w:val="-4"/>
                <w:sz w:val="24"/>
                <w:szCs w:val="24"/>
                <w:highlight w:val="none"/>
              </w:rPr>
              <w:t>0%</w:t>
            </w:r>
          </w:p>
          <w:p w14:paraId="07FFBE21">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pacing w:val="-4"/>
                <w:sz w:val="24"/>
                <w:szCs w:val="24"/>
                <w:highlight w:val="none"/>
              </w:rPr>
            </w:pPr>
          </w:p>
          <w:p w14:paraId="31EB178E">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pacing w:val="-4"/>
                <w:sz w:val="24"/>
                <w:szCs w:val="24"/>
                <w:highlight w:val="none"/>
              </w:rPr>
            </w:pPr>
            <w:r>
              <w:rPr>
                <w:rFonts w:hint="eastAsia" w:ascii="宋体" w:hAnsi="宋体" w:eastAsia="宋体" w:cs="宋体"/>
                <w:b/>
                <w:color w:val="auto"/>
                <w:spacing w:val="-4"/>
                <w:sz w:val="24"/>
                <w:szCs w:val="24"/>
                <w:highlight w:val="none"/>
              </w:rPr>
              <w:t>投标产品为</w:t>
            </w:r>
            <w:r>
              <w:rPr>
                <w:rFonts w:hint="eastAsia" w:ascii="宋体" w:hAnsi="宋体" w:eastAsia="宋体" w:cs="宋体"/>
                <w:b/>
                <w:color w:val="auto"/>
                <w:sz w:val="24"/>
                <w:szCs w:val="24"/>
                <w:highlight w:val="none"/>
              </w:rPr>
              <w:t>小型企业或微型企业生产</w:t>
            </w:r>
            <w:r>
              <w:rPr>
                <w:rFonts w:hint="eastAsia" w:ascii="宋体" w:hAnsi="宋体" w:eastAsia="宋体" w:cs="宋体"/>
                <w:b/>
                <w:color w:val="auto"/>
                <w:spacing w:val="-4"/>
                <w:sz w:val="24"/>
                <w:szCs w:val="24"/>
                <w:highlight w:val="none"/>
              </w:rPr>
              <w:t>：</w:t>
            </w:r>
          </w:p>
          <w:p w14:paraId="7D945C0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投标人提供的货物既有中型企业制造，也有小微企业制造的，不享受办法规定的小微企业扶持政策。</w:t>
            </w:r>
          </w:p>
          <w:p w14:paraId="482D7AF0">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对其提供的小型或微型企业产品的投标报价给予</w:t>
            </w:r>
            <w:r>
              <w:rPr>
                <w:rFonts w:hint="eastAsia" w:hAnsi="宋体" w:cs="宋体"/>
                <w:color w:val="auto"/>
                <w:sz w:val="24"/>
                <w:szCs w:val="24"/>
                <w:highlight w:val="none"/>
                <w:lang w:val="en-US" w:eastAsia="zh-CN"/>
              </w:rPr>
              <w:t>15</w:t>
            </w:r>
            <w:r>
              <w:rPr>
                <w:rFonts w:hint="eastAsia" w:hAnsi="宋体" w:eastAsia="宋体" w:cs="宋体"/>
                <w:color w:val="auto"/>
                <w:sz w:val="24"/>
                <w:szCs w:val="24"/>
                <w:highlight w:val="none"/>
              </w:rPr>
              <w:t>%的扣除，扣除后的价格作为该投标人的评标价参与价格评分。</w:t>
            </w:r>
          </w:p>
          <w:p w14:paraId="1283A158">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、采购代理机构应当对联合体或者大中型企业的报价给予6%的扣除，用扣除后的价格参加评审。</w:t>
            </w:r>
          </w:p>
          <w:p w14:paraId="5FDBE464">
            <w:pPr>
              <w:pStyle w:val="13"/>
              <w:keepNext w:val="0"/>
              <w:keepLines w:val="0"/>
              <w:numPr>
                <w:ilvl w:val="-1"/>
                <w:numId w:val="0"/>
              </w:numPr>
              <w:suppressLineNumbers w:val="0"/>
              <w:spacing w:before="0" w:beforeAutospacing="0" w:after="0" w:afterAutospacing="0" w:line="360" w:lineRule="auto"/>
              <w:ind w:left="0" w:leftChars="0" w:right="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212671C9">
            <w:pPr>
              <w:keepNext w:val="0"/>
              <w:keepLines w:val="0"/>
              <w:widowControl/>
              <w:suppressLineNumbers w:val="0"/>
              <w:spacing w:before="0" w:beforeAutospacing="0" w:after="0" w:afterAutospacing="0" w:line="360" w:lineRule="auto"/>
              <w:ind w:left="0" w:right="0" w:firstLine="480" w:firstLineChars="200"/>
              <w:jc w:val="both"/>
              <w:rPr>
                <w:rFonts w:hint="eastAsia" w:hAnsi="宋体" w:eastAsia="宋体" w:cs="宋体"/>
                <w:color w:val="auto"/>
                <w:sz w:val="24"/>
                <w:szCs w:val="24"/>
                <w:highlight w:val="none"/>
              </w:rPr>
            </w:pPr>
            <w:r>
              <w:rPr>
                <w:rFonts w:hint="eastAsia" w:ascii="宋体" w:hAnsi="宋体" w:eastAsia="宋体" w:cs="宋体"/>
                <w:b w:val="0"/>
                <w:color w:val="auto"/>
                <w:kern w:val="2"/>
                <w:sz w:val="24"/>
                <w:szCs w:val="24"/>
                <w:highlight w:val="none"/>
                <w:lang w:val="en-US" w:eastAsia="zh-CN" w:bidi="ar"/>
              </w:rPr>
              <w:t>若本项目属于预留份额专门面向中小企业采购活动，</w:t>
            </w:r>
            <w:r>
              <w:rPr>
                <w:rFonts w:hint="eastAsia" w:ascii="宋体" w:hAnsi="宋体" w:eastAsia="宋体" w:cs="宋体"/>
                <w:color w:val="auto"/>
                <w:kern w:val="2"/>
                <w:sz w:val="24"/>
                <w:szCs w:val="24"/>
                <w:highlight w:val="none"/>
                <w:lang w:val="en-US" w:eastAsia="zh-CN" w:bidi="ar"/>
              </w:rPr>
              <w:t>不再执行价格评审优惠的扶持政策。</w:t>
            </w:r>
          </w:p>
        </w:tc>
      </w:tr>
      <w:tr w14:paraId="17AEB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519" w:type="pct"/>
            <w:noWrap w:val="0"/>
            <w:vAlign w:val="center"/>
          </w:tcPr>
          <w:p w14:paraId="4C34DCA6">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dstrike/>
                <w:color w:val="auto"/>
                <w:sz w:val="24"/>
                <w:szCs w:val="24"/>
                <w:highlight w:val="none"/>
              </w:rPr>
            </w:pPr>
            <w:r>
              <w:rPr>
                <w:rFonts w:hint="eastAsia" w:ascii="宋体" w:hAnsi="宋体" w:eastAsia="宋体" w:cs="宋体"/>
                <w:b/>
                <w:color w:val="auto"/>
                <w:sz w:val="24"/>
                <w:szCs w:val="24"/>
                <w:highlight w:val="none"/>
              </w:rPr>
              <w:t>4</w:t>
            </w:r>
          </w:p>
        </w:tc>
        <w:tc>
          <w:tcPr>
            <w:tcW w:w="970" w:type="pct"/>
            <w:noWrap w:val="0"/>
            <w:vAlign w:val="center"/>
          </w:tcPr>
          <w:p w14:paraId="5D65F6AC">
            <w:pPr>
              <w:pStyle w:val="11"/>
              <w:keepNext w:val="0"/>
              <w:keepLines w:val="0"/>
              <w:suppressLineNumbers w:val="0"/>
              <w:spacing w:before="0" w:beforeAutospacing="0" w:after="0" w:afterAutospacing="0" w:line="360" w:lineRule="auto"/>
              <w:ind w:left="0" w:right="0"/>
              <w:rPr>
                <w:rFonts w:hint="eastAsia" w:eastAsia="宋体"/>
                <w:color w:val="auto"/>
                <w:sz w:val="24"/>
                <w:szCs w:val="24"/>
                <w:highlight w:val="none"/>
              </w:rPr>
            </w:pPr>
            <w:r>
              <w:rPr>
                <w:rFonts w:hint="eastAsia" w:eastAsia="宋体"/>
                <w:color w:val="auto"/>
                <w:sz w:val="24"/>
                <w:szCs w:val="24"/>
                <w:highlight w:val="none"/>
              </w:rPr>
              <w:t>本项目对应的中小企业划分标准所属</w:t>
            </w:r>
            <w:r>
              <w:rPr>
                <w:rFonts w:hint="eastAsia" w:eastAsia="宋体"/>
                <w:color w:val="auto"/>
                <w:sz w:val="24"/>
                <w:szCs w:val="24"/>
                <w:highlight w:val="none"/>
                <w:u w:val="none"/>
              </w:rPr>
              <w:t xml:space="preserve"> </w:t>
            </w:r>
            <w:r>
              <w:rPr>
                <w:rFonts w:hint="eastAsia" w:eastAsia="宋体"/>
                <w:color w:val="auto"/>
                <w:sz w:val="24"/>
                <w:szCs w:val="24"/>
                <w:highlight w:val="none"/>
                <w:u w:val="single"/>
              </w:rPr>
              <w:t xml:space="preserve"> </w:t>
            </w:r>
            <w:r>
              <w:rPr>
                <w:rFonts w:hint="eastAsia"/>
                <w:color w:val="auto"/>
                <w:sz w:val="24"/>
                <w:szCs w:val="24"/>
                <w:highlight w:val="none"/>
                <w:u w:val="single"/>
                <w:lang w:val="en-US" w:eastAsia="zh-CN"/>
              </w:rPr>
              <w:t>工业</w:t>
            </w:r>
            <w:r>
              <w:rPr>
                <w:rFonts w:hint="eastAsia" w:eastAsia="宋体"/>
                <w:color w:val="auto"/>
                <w:sz w:val="24"/>
                <w:szCs w:val="24"/>
                <w:highlight w:val="none"/>
                <w:u w:val="single"/>
              </w:rPr>
              <w:t xml:space="preserve">    </w:t>
            </w:r>
            <w:r>
              <w:rPr>
                <w:rFonts w:hint="eastAsia" w:eastAsia="宋体"/>
                <w:color w:val="auto"/>
                <w:sz w:val="24"/>
                <w:szCs w:val="24"/>
                <w:highlight w:val="none"/>
                <w:u w:val="none"/>
              </w:rPr>
              <w:t>行业</w:t>
            </w:r>
            <w:r>
              <w:rPr>
                <w:rFonts w:hint="eastAsia" w:eastAsia="宋体"/>
                <w:color w:val="auto"/>
                <w:sz w:val="24"/>
                <w:szCs w:val="24"/>
                <w:highlight w:val="none"/>
                <w:u w:val="single"/>
              </w:rPr>
              <w:t>。</w:t>
            </w:r>
          </w:p>
        </w:tc>
        <w:tc>
          <w:tcPr>
            <w:tcW w:w="3510" w:type="pct"/>
            <w:tcBorders>
              <w:bottom w:val="single" w:color="auto" w:sz="4" w:space="0"/>
            </w:tcBorders>
            <w:noWrap w:val="0"/>
            <w:vAlign w:val="top"/>
          </w:tcPr>
          <w:p w14:paraId="2B536755">
            <w:pPr>
              <w:keepNext w:val="0"/>
              <w:keepLines w:val="0"/>
              <w:suppressLineNumbers w:val="0"/>
              <w:spacing w:before="0" w:beforeAutospacing="0" w:after="0" w:afterAutospacing="0" w:line="360" w:lineRule="auto"/>
              <w:ind w:left="0" w:right="0"/>
              <w:rPr>
                <w:rFonts w:hint="default" w:ascii="宋体" w:hAnsi="宋体" w:eastAsia="宋体" w:cs="宋体"/>
                <w:dstrike/>
                <w:color w:val="auto"/>
                <w:sz w:val="24"/>
                <w:szCs w:val="24"/>
                <w:highlight w:val="none"/>
                <w:u w:val="single"/>
              </w:rPr>
            </w:pPr>
            <w:r>
              <w:rPr>
                <w:rFonts w:hint="eastAsia" w:ascii="宋体" w:hAnsi="宋体" w:eastAsia="宋体" w:cs="宋体"/>
                <w:color w:val="auto"/>
                <w:sz w:val="24"/>
                <w:szCs w:val="24"/>
                <w:highlight w:val="none"/>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auto"/>
                <w:sz w:val="24"/>
                <w:szCs w:val="24"/>
                <w:highlight w:val="none"/>
                <w:lang w:eastAsia="zh-CN"/>
              </w:rPr>
              <w:t>租赁和商务服务业</w:t>
            </w:r>
            <w:r>
              <w:rPr>
                <w:rFonts w:hint="eastAsia" w:ascii="宋体" w:hAnsi="宋体" w:eastAsia="宋体" w:cs="宋体"/>
                <w:color w:val="auto"/>
                <w:sz w:val="24"/>
                <w:szCs w:val="24"/>
                <w:highlight w:val="none"/>
              </w:rPr>
              <w:t>和其他未列明行业等十六类。</w:t>
            </w:r>
          </w:p>
        </w:tc>
      </w:tr>
      <w:tr w14:paraId="455B0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519" w:type="pct"/>
            <w:noWrap w:val="0"/>
            <w:vAlign w:val="center"/>
          </w:tcPr>
          <w:p w14:paraId="787E29D5">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w:t>
            </w:r>
          </w:p>
        </w:tc>
        <w:tc>
          <w:tcPr>
            <w:tcW w:w="970" w:type="pct"/>
            <w:noWrap w:val="0"/>
            <w:vAlign w:val="center"/>
          </w:tcPr>
          <w:p w14:paraId="549B89E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相关风险</w:t>
            </w:r>
          </w:p>
        </w:tc>
        <w:tc>
          <w:tcPr>
            <w:tcW w:w="3510" w:type="pct"/>
            <w:tcBorders>
              <w:bottom w:val="single" w:color="auto" w:sz="4" w:space="0"/>
            </w:tcBorders>
            <w:noWrap w:val="0"/>
            <w:vAlign w:val="top"/>
          </w:tcPr>
          <w:p w14:paraId="292B00C6">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一、经评标委员会评审，存在下列任一情况的，投标人将不被视为中小企业：</w:t>
            </w:r>
          </w:p>
          <w:p w14:paraId="1559D50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1.投标人不符合“工信部联企业[2011]300号”规定的中小企业标准的；</w:t>
            </w:r>
          </w:p>
          <w:p w14:paraId="316A7F6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2.投标货物全部或部分为使用大型企业注册商标的货物的；</w:t>
            </w:r>
          </w:p>
          <w:p w14:paraId="3C83059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3.投标文件中标明的中小企业产品的制造商不符合“工信部联企业[2011]300号”规定的中小企业标准的；</w:t>
            </w:r>
          </w:p>
          <w:p w14:paraId="7BCD90D9">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二、提供虚假声明后果：</w:t>
            </w:r>
          </w:p>
          <w:p w14:paraId="36D57816">
            <w:pPr>
              <w:keepNext w:val="0"/>
              <w:keepLines w:val="0"/>
              <w:widowControl/>
              <w:suppressLineNumbers w:val="0"/>
              <w:spacing w:before="0" w:beforeAutospacing="0" w:after="0" w:afterAutospacing="0" w:line="360" w:lineRule="auto"/>
              <w:ind w:left="0" w:right="0"/>
              <w:rPr>
                <w:rFonts w:hint="eastAsia" w:ascii="宋体" w:hAnsi="宋体" w:eastAsia="宋体" w:cs="宋体"/>
                <w:b/>
                <w:i/>
                <w:color w:val="auto"/>
                <w:kern w:val="0"/>
                <w:sz w:val="24"/>
                <w:szCs w:val="24"/>
                <w:highlight w:val="none"/>
                <w:u w:val="single"/>
              </w:rPr>
            </w:pPr>
            <w:r>
              <w:rPr>
                <w:rFonts w:hint="eastAsia" w:ascii="宋体" w:hAnsi="宋体" w:eastAsia="宋体" w:cs="宋体"/>
                <w:color w:val="auto"/>
                <w:kern w:val="0"/>
                <w:sz w:val="24"/>
                <w:szCs w:val="24"/>
                <w:highlight w:val="none"/>
              </w:rPr>
              <w:t>投标人为取得中小企业身份而提供虚假声明，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、招标代理机构将有关情况上报政府采购监管部门，由监管部门按有关规定对其进行相应处罚。</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w:t>
            </w:r>
            <w:r>
              <w:rPr>
                <w:rFonts w:hint="eastAsia" w:ascii="宋体" w:hAnsi="宋体" w:eastAsia="宋体" w:cs="宋体"/>
                <w:color w:val="auto"/>
                <w:sz w:val="24"/>
                <w:szCs w:val="24"/>
                <w:highlight w:val="none"/>
              </w:rPr>
              <w:t>有权上报财政部门，建议财政部门将该投标人列入不良行为记录名单，在一至三年内禁止该投标人参加政府采购活动并予以通报。</w:t>
            </w:r>
            <w:r>
              <w:rPr>
                <w:rFonts w:hint="eastAsia" w:ascii="宋体" w:hAnsi="宋体" w:eastAsia="宋体" w:cs="宋体"/>
                <w:b/>
                <w:i/>
                <w:color w:val="auto"/>
                <w:kern w:val="0"/>
                <w:sz w:val="24"/>
                <w:szCs w:val="24"/>
                <w:highlight w:val="none"/>
                <w:u w:val="single"/>
              </w:rPr>
              <w:t>（提醒：如果投不满足中小企业的认定标准，则不需要提供《中小企业声明函》，否则因此导致虚假应标的后果由投标人自行承担。）</w:t>
            </w:r>
          </w:p>
        </w:tc>
      </w:tr>
    </w:tbl>
    <w:p w14:paraId="32826689">
      <w:pPr>
        <w:spacing w:line="360" w:lineRule="auto"/>
        <w:rPr>
          <w:rFonts w:hint="eastAsia" w:ascii="宋体" w:hAnsi="宋体" w:eastAsia="宋体" w:cs="宋体"/>
          <w:b/>
          <w:bCs/>
          <w:color w:val="auto"/>
          <w:sz w:val="24"/>
          <w:szCs w:val="24"/>
          <w:highlight w:val="none"/>
        </w:rPr>
        <w:sectPr>
          <w:footerReference r:id="rId7" w:type="default"/>
          <w:pgSz w:w="11907" w:h="16840"/>
          <w:pgMar w:top="1440" w:right="1752" w:bottom="1290" w:left="1752" w:header="851" w:footer="992" w:gutter="0"/>
          <w:pgNumType w:start="1"/>
          <w:cols w:space="720" w:num="1"/>
          <w:docGrid w:linePitch="323" w:charSpace="-2"/>
        </w:sectPr>
      </w:pPr>
    </w:p>
    <w:p w14:paraId="3FE0D00E">
      <w:pPr>
        <w:pStyle w:val="2"/>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color w:val="auto"/>
          <w:sz w:val="32"/>
          <w:szCs w:val="32"/>
          <w:highlight w:val="none"/>
        </w:rPr>
        <w:t xml:space="preserve">第三章  </w:t>
      </w:r>
      <w:r>
        <w:rPr>
          <w:rFonts w:hint="eastAsia" w:ascii="宋体" w:hAnsi="宋体" w:eastAsia="宋体" w:cs="宋体"/>
          <w:b/>
          <w:bCs/>
          <w:color w:val="auto"/>
          <w:sz w:val="32"/>
          <w:szCs w:val="32"/>
          <w:highlight w:val="none"/>
        </w:rPr>
        <w:t>招标内容及要求</w:t>
      </w:r>
    </w:p>
    <w:p w14:paraId="2CAA6C04">
      <w:pPr>
        <w:pStyle w:val="6"/>
        <w:spacing w:after="0" w:line="360" w:lineRule="auto"/>
        <w:ind w:left="181" w:leftChars="86"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提示说明：</w:t>
      </w:r>
    </w:p>
    <w:p w14:paraId="520A1522">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（1）全文中带有“*”的条款为关键性条款，对这些关键性条款的任何负偏离或不满足将导致该投标作无效投标处理。</w:t>
      </w:r>
      <w:r>
        <w:rPr>
          <w:rFonts w:hint="eastAsia" w:ascii="宋体" w:hAnsi="宋体" w:eastAsia="宋体" w:cs="宋体"/>
          <w:b/>
          <w:color w:val="auto"/>
          <w:sz w:val="24"/>
          <w:szCs w:val="24"/>
          <w:highlight w:val="none"/>
        </w:rPr>
        <w:t>投标人应对招标文件中的“*”号条款进行逐条响应，否则评标委员会对其投标做出不利评审，投标人必须自行承担责任。</w:t>
      </w:r>
    </w:p>
    <w:p w14:paraId="7505A7A1">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（2）本项目以合同包为单位，对于每个合同包，投标人必须完整地提供合同包要求的所有货物和服务，否则该投标人针对该合同包的投标将按照无效投标处理。</w:t>
      </w:r>
    </w:p>
    <w:p w14:paraId="62DC1496">
      <w:pPr>
        <w:pStyle w:val="6"/>
        <w:spacing w:after="0" w:line="360" w:lineRule="auto"/>
        <w:ind w:left="0"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（3）若招标文件第三章所述内容与其它部分的条款发生理解冲突，则以第三章所述内容为准；如招标文件发生变更，则相关条款的解释以更改通知为准。</w:t>
      </w:r>
    </w:p>
    <w:p w14:paraId="33AE014D">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（4）经评标委员会认定要求澄清的证明文件必须在规定的时间内提供，否则其将不具有中标供应商的资格。</w:t>
      </w:r>
    </w:p>
    <w:p w14:paraId="7DD35A97">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（5）资格性证明文件请单独成册。</w:t>
      </w:r>
    </w:p>
    <w:p w14:paraId="7E85E216">
      <w:pPr>
        <w:pStyle w:val="6"/>
        <w:spacing w:after="0" w:line="360" w:lineRule="auto"/>
        <w:ind w:left="0"/>
        <w:rPr>
          <w:rFonts w:hint="eastAsia" w:ascii="宋体" w:hAnsi="宋体" w:eastAsia="宋体" w:cs="宋体"/>
          <w:b/>
          <w:bCs/>
          <w:color w:val="auto"/>
          <w:sz w:val="24"/>
          <w:szCs w:val="24"/>
          <w:highlight w:val="none"/>
        </w:rPr>
      </w:pPr>
    </w:p>
    <w:p w14:paraId="5B422318">
      <w:pPr>
        <w:tabs>
          <w:tab w:val="left" w:pos="5130"/>
        </w:tabs>
        <w:spacing w:line="360" w:lineRule="auto"/>
        <w:ind w:firstLine="480" w:firstLineChars="200"/>
        <w:rPr>
          <w:rFonts w:hint="eastAsia" w:ascii="宋体" w:hAnsi="宋体" w:eastAsia="宋体" w:cs="宋体"/>
          <w:color w:val="auto"/>
          <w:sz w:val="24"/>
          <w:szCs w:val="24"/>
          <w:highlight w:val="none"/>
        </w:rPr>
      </w:pPr>
    </w:p>
    <w:p w14:paraId="361C129B">
      <w:pPr>
        <w:tabs>
          <w:tab w:val="left" w:pos="5130"/>
        </w:tabs>
        <w:spacing w:line="360" w:lineRule="auto"/>
        <w:ind w:firstLine="480" w:firstLineChars="200"/>
        <w:rPr>
          <w:rFonts w:hint="eastAsia" w:ascii="宋体" w:hAnsi="宋体" w:eastAsia="宋体" w:cs="宋体"/>
          <w:color w:val="auto"/>
          <w:sz w:val="24"/>
          <w:szCs w:val="24"/>
          <w:highlight w:val="none"/>
        </w:rPr>
      </w:pPr>
    </w:p>
    <w:p w14:paraId="205386E7">
      <w:pPr>
        <w:tabs>
          <w:tab w:val="left" w:pos="5130"/>
        </w:tabs>
        <w:spacing w:line="360" w:lineRule="auto"/>
        <w:ind w:firstLine="480" w:firstLineChars="200"/>
        <w:rPr>
          <w:rFonts w:hint="eastAsia" w:ascii="宋体" w:hAnsi="宋体" w:eastAsia="宋体" w:cs="宋体"/>
          <w:color w:val="auto"/>
          <w:sz w:val="24"/>
          <w:szCs w:val="24"/>
          <w:highlight w:val="none"/>
        </w:rPr>
      </w:pPr>
    </w:p>
    <w:p w14:paraId="35D730F9">
      <w:pPr>
        <w:tabs>
          <w:tab w:val="left" w:pos="5130"/>
        </w:tabs>
        <w:spacing w:line="360" w:lineRule="auto"/>
        <w:ind w:firstLine="480" w:firstLineChars="200"/>
        <w:rPr>
          <w:rFonts w:hint="eastAsia" w:ascii="宋体" w:hAnsi="宋体" w:eastAsia="宋体" w:cs="宋体"/>
          <w:color w:val="auto"/>
          <w:sz w:val="24"/>
          <w:szCs w:val="24"/>
          <w:highlight w:val="none"/>
        </w:rPr>
      </w:pPr>
    </w:p>
    <w:p w14:paraId="5F92A0C9">
      <w:pPr>
        <w:tabs>
          <w:tab w:val="left" w:pos="5130"/>
        </w:tabs>
        <w:spacing w:line="360" w:lineRule="auto"/>
        <w:ind w:firstLine="480" w:firstLineChars="200"/>
        <w:rPr>
          <w:rFonts w:hint="eastAsia" w:ascii="宋体" w:hAnsi="宋体" w:eastAsia="宋体" w:cs="宋体"/>
          <w:color w:val="auto"/>
          <w:sz w:val="24"/>
          <w:szCs w:val="24"/>
          <w:highlight w:val="none"/>
        </w:rPr>
      </w:pPr>
    </w:p>
    <w:p w14:paraId="4062B15E">
      <w:pPr>
        <w:tabs>
          <w:tab w:val="left" w:pos="5130"/>
        </w:tabs>
        <w:spacing w:line="360" w:lineRule="auto"/>
        <w:ind w:firstLine="480" w:firstLineChars="200"/>
        <w:rPr>
          <w:rFonts w:hint="eastAsia" w:ascii="宋体" w:hAnsi="宋体" w:eastAsia="宋体" w:cs="宋体"/>
          <w:color w:val="auto"/>
          <w:sz w:val="24"/>
          <w:szCs w:val="24"/>
          <w:highlight w:val="none"/>
        </w:rPr>
      </w:pPr>
    </w:p>
    <w:p w14:paraId="08345C50">
      <w:pPr>
        <w:tabs>
          <w:tab w:val="left" w:pos="5130"/>
        </w:tabs>
        <w:spacing w:line="360" w:lineRule="auto"/>
        <w:ind w:firstLine="480" w:firstLineChars="200"/>
        <w:rPr>
          <w:rFonts w:hint="eastAsia" w:ascii="宋体" w:hAnsi="宋体" w:eastAsia="宋体" w:cs="宋体"/>
          <w:color w:val="auto"/>
          <w:sz w:val="24"/>
          <w:szCs w:val="24"/>
          <w:highlight w:val="none"/>
        </w:rPr>
      </w:pPr>
    </w:p>
    <w:p w14:paraId="1C379888">
      <w:pPr>
        <w:tabs>
          <w:tab w:val="left" w:pos="5130"/>
        </w:tabs>
        <w:spacing w:line="360" w:lineRule="auto"/>
        <w:ind w:firstLine="480" w:firstLineChars="200"/>
        <w:rPr>
          <w:rFonts w:hint="eastAsia" w:ascii="宋体" w:hAnsi="宋体" w:eastAsia="宋体" w:cs="宋体"/>
          <w:color w:val="auto"/>
          <w:sz w:val="24"/>
          <w:szCs w:val="24"/>
          <w:highlight w:val="none"/>
        </w:rPr>
      </w:pPr>
    </w:p>
    <w:p w14:paraId="61969486">
      <w:pPr>
        <w:tabs>
          <w:tab w:val="left" w:pos="5130"/>
        </w:tabs>
        <w:spacing w:line="360" w:lineRule="auto"/>
        <w:ind w:firstLine="480" w:firstLineChars="200"/>
        <w:rPr>
          <w:rFonts w:hint="eastAsia" w:ascii="宋体" w:hAnsi="宋体" w:eastAsia="宋体" w:cs="宋体"/>
          <w:color w:val="auto"/>
          <w:sz w:val="24"/>
          <w:szCs w:val="24"/>
          <w:highlight w:val="none"/>
        </w:rPr>
      </w:pPr>
    </w:p>
    <w:p w14:paraId="1D089824">
      <w:pPr>
        <w:tabs>
          <w:tab w:val="left" w:pos="5130"/>
        </w:tabs>
        <w:spacing w:line="360" w:lineRule="auto"/>
        <w:ind w:firstLine="480" w:firstLineChars="200"/>
        <w:rPr>
          <w:rFonts w:hint="eastAsia" w:ascii="宋体" w:hAnsi="宋体" w:eastAsia="宋体" w:cs="宋体"/>
          <w:color w:val="auto"/>
          <w:sz w:val="24"/>
          <w:szCs w:val="24"/>
          <w:highlight w:val="none"/>
        </w:rPr>
      </w:pPr>
    </w:p>
    <w:p w14:paraId="68C885EE">
      <w:pPr>
        <w:tabs>
          <w:tab w:val="left" w:pos="5130"/>
        </w:tabs>
        <w:spacing w:line="360" w:lineRule="auto"/>
        <w:ind w:firstLine="480" w:firstLineChars="200"/>
        <w:rPr>
          <w:rFonts w:hint="eastAsia" w:ascii="宋体" w:hAnsi="宋体" w:eastAsia="宋体" w:cs="宋体"/>
          <w:color w:val="auto"/>
          <w:sz w:val="24"/>
          <w:szCs w:val="24"/>
          <w:highlight w:val="none"/>
        </w:rPr>
      </w:pPr>
    </w:p>
    <w:p w14:paraId="7D21336A">
      <w:pPr>
        <w:tabs>
          <w:tab w:val="left" w:pos="5130"/>
        </w:tabs>
        <w:spacing w:line="360" w:lineRule="auto"/>
        <w:ind w:firstLine="480" w:firstLineChars="200"/>
        <w:rPr>
          <w:rFonts w:hint="eastAsia" w:ascii="宋体" w:hAnsi="宋体" w:eastAsia="宋体" w:cs="宋体"/>
          <w:color w:val="auto"/>
          <w:sz w:val="24"/>
          <w:szCs w:val="24"/>
          <w:highlight w:val="none"/>
        </w:rPr>
      </w:pPr>
    </w:p>
    <w:p w14:paraId="13DCC33B">
      <w:pPr>
        <w:tabs>
          <w:tab w:val="left" w:pos="5130"/>
        </w:tabs>
        <w:spacing w:line="360" w:lineRule="auto"/>
        <w:ind w:firstLine="480" w:firstLineChars="200"/>
        <w:rPr>
          <w:rFonts w:hint="eastAsia" w:ascii="宋体" w:hAnsi="宋体" w:eastAsia="宋体" w:cs="宋体"/>
          <w:color w:val="auto"/>
          <w:sz w:val="24"/>
          <w:szCs w:val="24"/>
          <w:highlight w:val="none"/>
        </w:rPr>
      </w:pPr>
    </w:p>
    <w:p w14:paraId="1FF5C5BD">
      <w:pPr>
        <w:tabs>
          <w:tab w:val="left" w:pos="5130"/>
        </w:tabs>
        <w:spacing w:line="360" w:lineRule="auto"/>
        <w:ind w:firstLine="480" w:firstLineChars="200"/>
        <w:rPr>
          <w:rFonts w:hint="eastAsia" w:ascii="宋体" w:hAnsi="宋体" w:eastAsia="宋体" w:cs="宋体"/>
          <w:color w:val="auto"/>
          <w:sz w:val="24"/>
          <w:szCs w:val="24"/>
          <w:highlight w:val="none"/>
        </w:rPr>
      </w:pPr>
    </w:p>
    <w:p w14:paraId="25E0C455">
      <w:pPr>
        <w:tabs>
          <w:tab w:val="left" w:pos="5130"/>
        </w:tabs>
        <w:spacing w:line="360" w:lineRule="auto"/>
        <w:ind w:firstLine="480" w:firstLineChars="200"/>
        <w:rPr>
          <w:rFonts w:hint="eastAsia" w:ascii="宋体" w:hAnsi="宋体" w:eastAsia="宋体" w:cs="宋体"/>
          <w:color w:val="auto"/>
          <w:sz w:val="24"/>
          <w:szCs w:val="24"/>
          <w:highlight w:val="none"/>
        </w:rPr>
      </w:pPr>
    </w:p>
    <w:p w14:paraId="06983D87">
      <w:pPr>
        <w:tabs>
          <w:tab w:val="left" w:pos="5130"/>
        </w:tabs>
        <w:spacing w:line="360" w:lineRule="auto"/>
        <w:rPr>
          <w:rFonts w:hint="eastAsia" w:ascii="宋体" w:hAnsi="宋体" w:eastAsia="宋体" w:cs="宋体"/>
          <w:color w:val="auto"/>
          <w:sz w:val="24"/>
          <w:szCs w:val="24"/>
          <w:highlight w:val="none"/>
        </w:rPr>
      </w:pPr>
    </w:p>
    <w:p w14:paraId="1E11D868">
      <w:pPr>
        <w:tabs>
          <w:tab w:val="left" w:pos="5130"/>
        </w:tabs>
        <w:spacing w:line="360" w:lineRule="auto"/>
        <w:rPr>
          <w:rFonts w:hint="eastAsia" w:ascii="宋体" w:hAnsi="宋体" w:eastAsia="宋体" w:cs="宋体"/>
          <w:color w:val="auto"/>
          <w:sz w:val="24"/>
          <w:szCs w:val="24"/>
          <w:highlight w:val="none"/>
        </w:rPr>
      </w:pPr>
    </w:p>
    <w:p w14:paraId="62C8F618">
      <w:pPr>
        <w:tabs>
          <w:tab w:val="left" w:pos="5130"/>
        </w:tabs>
        <w:spacing w:line="360" w:lineRule="auto"/>
        <w:rPr>
          <w:rFonts w:hint="eastAsia" w:ascii="宋体" w:hAnsi="宋体" w:eastAsia="宋体" w:cs="宋体"/>
          <w:color w:val="auto"/>
          <w:sz w:val="24"/>
          <w:szCs w:val="24"/>
          <w:highlight w:val="none"/>
        </w:rPr>
      </w:pPr>
    </w:p>
    <w:p w14:paraId="71E133CA">
      <w:pPr>
        <w:tabs>
          <w:tab w:val="left" w:pos="5130"/>
        </w:tabs>
        <w:spacing w:line="360" w:lineRule="auto"/>
        <w:rPr>
          <w:rFonts w:hint="eastAsia" w:ascii="宋体" w:hAnsi="宋体" w:eastAsia="宋体" w:cs="宋体"/>
          <w:color w:val="auto"/>
          <w:sz w:val="24"/>
          <w:szCs w:val="24"/>
          <w:highlight w:val="none"/>
        </w:rPr>
      </w:pPr>
    </w:p>
    <w:p w14:paraId="712776D8">
      <w:pPr>
        <w:tabs>
          <w:tab w:val="left" w:pos="5130"/>
        </w:tabs>
        <w:spacing w:line="360" w:lineRule="auto"/>
        <w:rPr>
          <w:rFonts w:hint="eastAsia" w:ascii="宋体" w:hAnsi="宋体" w:eastAsia="宋体" w:cs="宋体"/>
          <w:color w:val="auto"/>
          <w:sz w:val="24"/>
          <w:szCs w:val="24"/>
          <w:highlight w:val="none"/>
        </w:rPr>
      </w:pPr>
    </w:p>
    <w:p w14:paraId="481933C5">
      <w:pPr>
        <w:numPr>
          <w:ilvl w:val="0"/>
          <w:numId w:val="3"/>
        </w:numPr>
        <w:spacing w:line="360" w:lineRule="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招标要求：</w:t>
      </w:r>
    </w:p>
    <w:tbl>
      <w:tblPr>
        <w:tblStyle w:val="14"/>
        <w:tblW w:w="9163" w:type="dxa"/>
        <w:tblInd w:w="10" w:type="dxa"/>
        <w:tblLayout w:type="fixed"/>
        <w:tblCellMar>
          <w:top w:w="0" w:type="dxa"/>
          <w:left w:w="0" w:type="dxa"/>
          <w:bottom w:w="0" w:type="dxa"/>
          <w:right w:w="0" w:type="dxa"/>
        </w:tblCellMar>
      </w:tblPr>
      <w:tblGrid>
        <w:gridCol w:w="916"/>
        <w:gridCol w:w="2107"/>
        <w:gridCol w:w="6140"/>
      </w:tblGrid>
      <w:tr w14:paraId="6D5F0480">
        <w:tblPrEx>
          <w:tblCellMar>
            <w:top w:w="0" w:type="dxa"/>
            <w:left w:w="0" w:type="dxa"/>
            <w:bottom w:w="0" w:type="dxa"/>
            <w:right w:w="0" w:type="dxa"/>
          </w:tblCellMar>
        </w:tblPrEx>
        <w:trPr>
          <w:trHeight w:val="430" w:hRule="atLeast"/>
        </w:trPr>
        <w:tc>
          <w:tcPr>
            <w:tcW w:w="916" w:type="dxa"/>
            <w:tcBorders>
              <w:top w:val="single" w:color="000000" w:sz="8" w:space="0"/>
              <w:left w:val="single" w:color="000000" w:sz="8" w:space="0"/>
              <w:bottom w:val="single" w:color="000000" w:sz="8" w:space="0"/>
              <w:right w:val="single" w:color="000000" w:sz="8" w:space="0"/>
            </w:tcBorders>
            <w:shd w:val="clear" w:color="auto" w:fill="auto"/>
            <w:tcMar>
              <w:top w:w="15" w:type="dxa"/>
              <w:left w:w="76" w:type="dxa"/>
              <w:bottom w:w="0" w:type="dxa"/>
              <w:right w:w="76" w:type="dxa"/>
            </w:tcMar>
            <w:vAlign w:val="center"/>
          </w:tcPr>
          <w:p w14:paraId="678819C2">
            <w:pPr>
              <w:keepNext w:val="0"/>
              <w:keepLines w:val="0"/>
              <w:widowControl/>
              <w:suppressLineNumbers w:val="0"/>
              <w:kinsoku w:val="0"/>
              <w:overflowPunct w:val="0"/>
              <w:spacing w:before="0" w:beforeAutospacing="0" w:after="0" w:afterAutospacing="0"/>
              <w:ind w:left="0" w:right="0"/>
              <w:jc w:val="center"/>
              <w:textAlignment w:val="baseline"/>
              <w:rPr>
                <w:rFonts w:hint="eastAsia" w:ascii="宋体" w:hAnsi="宋体" w:eastAsia="宋体" w:cs="宋体"/>
                <w:color w:val="auto"/>
                <w:kern w:val="0"/>
                <w:sz w:val="24"/>
                <w:szCs w:val="24"/>
                <w:highlight w:val="none"/>
              </w:rPr>
            </w:pPr>
            <w:r>
              <w:rPr>
                <w:rFonts w:hint="eastAsia" w:ascii="宋体" w:hAnsi="宋体" w:eastAsia="宋体" w:cs="宋体"/>
                <w:bCs/>
                <w:color w:val="auto"/>
                <w:kern w:val="0"/>
                <w:sz w:val="24"/>
                <w:szCs w:val="24"/>
                <w:highlight w:val="none"/>
              </w:rPr>
              <w:t>品目号</w:t>
            </w:r>
          </w:p>
        </w:tc>
        <w:tc>
          <w:tcPr>
            <w:tcW w:w="2107" w:type="dxa"/>
            <w:tcBorders>
              <w:top w:val="single" w:color="000000" w:sz="8" w:space="0"/>
              <w:left w:val="single" w:color="000000" w:sz="8" w:space="0"/>
              <w:bottom w:val="single" w:color="000000" w:sz="8" w:space="0"/>
              <w:right w:val="single" w:color="000000" w:sz="8" w:space="0"/>
            </w:tcBorders>
            <w:vAlign w:val="center"/>
          </w:tcPr>
          <w:p w14:paraId="448BFB7F">
            <w:pPr>
              <w:keepNext w:val="0"/>
              <w:keepLines w:val="0"/>
              <w:widowControl/>
              <w:suppressLineNumbers w:val="0"/>
              <w:kinsoku w:val="0"/>
              <w:overflowPunct w:val="0"/>
              <w:spacing w:before="0" w:beforeAutospacing="0" w:after="0" w:afterAutospacing="0"/>
              <w:ind w:left="0" w:right="0"/>
              <w:jc w:val="center"/>
              <w:textAlignment w:val="baseline"/>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选型</w:t>
            </w:r>
          </w:p>
        </w:tc>
        <w:tc>
          <w:tcPr>
            <w:tcW w:w="6140" w:type="dxa"/>
            <w:tcBorders>
              <w:top w:val="single" w:color="000000" w:sz="8" w:space="0"/>
              <w:left w:val="single" w:color="000000" w:sz="8" w:space="0"/>
              <w:bottom w:val="single" w:color="000000" w:sz="8" w:space="0"/>
              <w:right w:val="single" w:color="000000" w:sz="8" w:space="0"/>
            </w:tcBorders>
            <w:shd w:val="clear" w:color="auto" w:fill="auto"/>
            <w:tcMar>
              <w:top w:w="15" w:type="dxa"/>
              <w:left w:w="76" w:type="dxa"/>
              <w:bottom w:w="0" w:type="dxa"/>
              <w:right w:w="76" w:type="dxa"/>
            </w:tcMar>
            <w:vAlign w:val="center"/>
          </w:tcPr>
          <w:p w14:paraId="5A4AC979">
            <w:pPr>
              <w:keepNext w:val="0"/>
              <w:keepLines w:val="0"/>
              <w:widowControl/>
              <w:suppressLineNumbers w:val="0"/>
              <w:kinsoku w:val="0"/>
              <w:overflowPunct w:val="0"/>
              <w:spacing w:before="0" w:beforeAutospacing="0" w:after="0" w:afterAutospacing="0"/>
              <w:ind w:left="0" w:right="0"/>
              <w:jc w:val="center"/>
              <w:textAlignment w:val="baseline"/>
              <w:rPr>
                <w:rFonts w:hint="eastAsia" w:ascii="宋体" w:hAnsi="宋体" w:eastAsia="宋体" w:cs="宋体"/>
                <w:color w:val="auto"/>
                <w:kern w:val="0"/>
                <w:sz w:val="24"/>
                <w:szCs w:val="24"/>
                <w:highlight w:val="none"/>
              </w:rPr>
            </w:pPr>
            <w:r>
              <w:rPr>
                <w:rFonts w:hint="eastAsia" w:ascii="宋体" w:hAnsi="宋体" w:eastAsia="宋体" w:cs="宋体"/>
                <w:bCs/>
                <w:color w:val="auto"/>
                <w:kern w:val="0"/>
                <w:sz w:val="24"/>
                <w:szCs w:val="24"/>
                <w:highlight w:val="none"/>
              </w:rPr>
              <w:t>主要技术参数</w:t>
            </w:r>
          </w:p>
        </w:tc>
      </w:tr>
      <w:tr w14:paraId="7CD260C1">
        <w:tblPrEx>
          <w:tblCellMar>
            <w:top w:w="0" w:type="dxa"/>
            <w:left w:w="0" w:type="dxa"/>
            <w:bottom w:w="0" w:type="dxa"/>
            <w:right w:w="0" w:type="dxa"/>
          </w:tblCellMar>
        </w:tblPrEx>
        <w:trPr>
          <w:trHeight w:val="2157" w:hRule="atLeast"/>
        </w:trPr>
        <w:tc>
          <w:tcPr>
            <w:tcW w:w="916" w:type="dxa"/>
            <w:tcBorders>
              <w:top w:val="single" w:color="000000" w:sz="8" w:space="0"/>
              <w:left w:val="single" w:color="auto" w:sz="4" w:space="0"/>
              <w:bottom w:val="single" w:color="000000" w:sz="8" w:space="0"/>
              <w:right w:val="single" w:color="000000" w:sz="8" w:space="0"/>
            </w:tcBorders>
            <w:shd w:val="clear" w:color="auto" w:fill="auto"/>
            <w:tcMar>
              <w:top w:w="15" w:type="dxa"/>
              <w:left w:w="76" w:type="dxa"/>
              <w:bottom w:w="0" w:type="dxa"/>
              <w:right w:w="76" w:type="dxa"/>
            </w:tcMar>
            <w:vAlign w:val="center"/>
          </w:tcPr>
          <w:p w14:paraId="68CF705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2107" w:type="dxa"/>
            <w:tcBorders>
              <w:top w:val="single" w:color="000000" w:sz="8" w:space="0"/>
              <w:left w:val="single" w:color="000000" w:sz="8" w:space="0"/>
              <w:bottom w:val="single" w:color="000000" w:sz="8" w:space="0"/>
              <w:right w:val="single" w:color="000000" w:sz="8" w:space="0"/>
            </w:tcBorders>
            <w:vAlign w:val="center"/>
          </w:tcPr>
          <w:p w14:paraId="126A9A6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平推针式打印机</w:t>
            </w:r>
          </w:p>
        </w:tc>
        <w:tc>
          <w:tcPr>
            <w:tcW w:w="6140" w:type="dxa"/>
            <w:tcBorders>
              <w:top w:val="single" w:color="000000" w:sz="8" w:space="0"/>
              <w:left w:val="single" w:color="000000" w:sz="8" w:space="0"/>
              <w:bottom w:val="single" w:color="000000" w:sz="8" w:space="0"/>
              <w:right w:val="single" w:color="000000" w:sz="8" w:space="0"/>
            </w:tcBorders>
            <w:shd w:val="clear" w:color="auto" w:fill="auto"/>
            <w:tcMar>
              <w:top w:w="15" w:type="dxa"/>
              <w:left w:w="76" w:type="dxa"/>
              <w:bottom w:w="0" w:type="dxa"/>
              <w:right w:w="76" w:type="dxa"/>
            </w:tcMar>
            <w:vAlign w:val="center"/>
          </w:tcPr>
          <w:tbl>
            <w:tblPr>
              <w:tblStyle w:val="14"/>
              <w:tblW w:w="5520"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20"/>
            </w:tblGrid>
            <w:tr w14:paraId="6F91D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1" w:hRule="atLeast"/>
              </w:trPr>
              <w:tc>
                <w:tcPr>
                  <w:tcW w:w="55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13CAF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*85列≧打印宽度≧80列；针数≧24针；打印速度：中文超高速≧175汉字/秒；打印厚度：≥0.45mm；配备USB2.0数据线或并口线；适配符合安全可靠测评要求的计算机平台及符合安全可靠测评要求的操作系统。</w:t>
                  </w:r>
                </w:p>
              </w:tc>
            </w:tr>
            <w:tr w14:paraId="6782B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55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1623FA">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4"/>
                      <w:szCs w:val="24"/>
                      <w:highlight w:val="none"/>
                      <w:u w:val="none"/>
                    </w:rPr>
                  </w:pPr>
                </w:p>
              </w:tc>
            </w:tr>
            <w:tr w14:paraId="4B059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55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9E705A">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4"/>
                      <w:szCs w:val="24"/>
                      <w:highlight w:val="none"/>
                      <w:u w:val="none"/>
                    </w:rPr>
                  </w:pPr>
                </w:p>
              </w:tc>
            </w:tr>
            <w:tr w14:paraId="1EA50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55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313FEF">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4"/>
                      <w:szCs w:val="24"/>
                      <w:highlight w:val="none"/>
                      <w:u w:val="none"/>
                    </w:rPr>
                  </w:pPr>
                </w:p>
              </w:tc>
            </w:tr>
            <w:tr w14:paraId="0C022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55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E3DC9F">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4"/>
                      <w:szCs w:val="24"/>
                      <w:highlight w:val="none"/>
                      <w:u w:val="none"/>
                    </w:rPr>
                  </w:pPr>
                </w:p>
              </w:tc>
            </w:tr>
            <w:tr w14:paraId="29587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6" w:hRule="atLeast"/>
              </w:trPr>
              <w:tc>
                <w:tcPr>
                  <w:tcW w:w="5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11E3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auto"/>
                      <w:kern w:val="0"/>
                      <w:sz w:val="24"/>
                      <w:szCs w:val="24"/>
                      <w:highlight w:val="none"/>
                      <w:u w:val="none"/>
                      <w:lang w:val="en-US" w:eastAsia="zh-CN" w:bidi="ar"/>
                    </w:rPr>
                  </w:pPr>
                  <w:r>
                    <w:rPr>
                      <w:rFonts w:hint="eastAsia" w:ascii="宋体" w:hAnsi="宋体" w:eastAsia="宋体" w:cs="宋体"/>
                      <w:b w:val="0"/>
                      <w:bCs w:val="0"/>
                      <w:i w:val="0"/>
                      <w:iCs w:val="0"/>
                      <w:color w:val="auto"/>
                      <w:kern w:val="0"/>
                      <w:sz w:val="24"/>
                      <w:szCs w:val="24"/>
                      <w:highlight w:val="none"/>
                      <w:u w:val="none"/>
                      <w:lang w:val="en-US" w:eastAsia="zh-CN" w:bidi="ar"/>
                    </w:rPr>
                    <w:t xml:space="preserve">复写能力：≧1份原件+3份拷贝                      </w:t>
                  </w:r>
                </w:p>
              </w:tc>
            </w:tr>
            <w:tr w14:paraId="79EAF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5520" w:type="dxa"/>
                  <w:tcBorders>
                    <w:top w:val="single" w:color="000000" w:sz="4" w:space="0"/>
                    <w:left w:val="single" w:color="000000" w:sz="4" w:space="0"/>
                    <w:bottom w:val="single" w:color="F79646" w:sz="4" w:space="0"/>
                    <w:right w:val="single" w:color="000000" w:sz="4" w:space="0"/>
                  </w:tcBorders>
                  <w:shd w:val="clear" w:color="auto" w:fill="auto"/>
                  <w:vAlign w:val="center"/>
                </w:tcPr>
                <w:p w14:paraId="6E4A2D7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val="0"/>
                      <w:bCs w:val="0"/>
                      <w:i w:val="0"/>
                      <w:iCs w:val="0"/>
                      <w:color w:val="auto"/>
                      <w:kern w:val="0"/>
                      <w:sz w:val="24"/>
                      <w:szCs w:val="24"/>
                      <w:highlight w:val="none"/>
                      <w:u w:val="none"/>
                      <w:lang w:val="en-US" w:eastAsia="zh-CN" w:bidi="ar"/>
                    </w:rPr>
                  </w:pPr>
                  <w:r>
                    <w:rPr>
                      <w:rFonts w:hint="eastAsia" w:ascii="宋体" w:hAnsi="宋体" w:eastAsia="宋体" w:cs="宋体"/>
                      <w:b w:val="0"/>
                      <w:bCs w:val="0"/>
                      <w:i w:val="0"/>
                      <w:iCs w:val="0"/>
                      <w:color w:val="auto"/>
                      <w:kern w:val="0"/>
                      <w:sz w:val="24"/>
                      <w:szCs w:val="24"/>
                      <w:highlight w:val="none"/>
                      <w:u w:val="none"/>
                      <w:lang w:val="en-US" w:eastAsia="zh-CN" w:bidi="ar"/>
                    </w:rPr>
                    <w:t>标配接口：标配并口+USB接口</w:t>
                  </w:r>
                </w:p>
              </w:tc>
            </w:tr>
          </w:tbl>
          <w:p w14:paraId="31E85C07">
            <w:pPr>
              <w:keepNext w:val="0"/>
              <w:keepLines w:val="0"/>
              <w:widowControl/>
              <w:suppressLineNumbers w:val="0"/>
              <w:kinsoku w:val="0"/>
              <w:overflowPunct w:val="0"/>
              <w:spacing w:before="0" w:beforeAutospacing="0" w:after="0" w:afterAutospacing="0"/>
              <w:ind w:left="0" w:right="0"/>
              <w:jc w:val="left"/>
              <w:textAlignment w:val="baseline"/>
              <w:rPr>
                <w:rFonts w:hint="eastAsia" w:ascii="宋体" w:hAnsi="宋体" w:eastAsia="宋体" w:cs="宋体"/>
                <w:color w:val="auto"/>
                <w:kern w:val="0"/>
                <w:sz w:val="24"/>
                <w:szCs w:val="24"/>
                <w:highlight w:val="none"/>
              </w:rPr>
            </w:pPr>
          </w:p>
        </w:tc>
      </w:tr>
      <w:tr w14:paraId="264707BB">
        <w:tblPrEx>
          <w:tblCellMar>
            <w:top w:w="0" w:type="dxa"/>
            <w:left w:w="0" w:type="dxa"/>
            <w:bottom w:w="0" w:type="dxa"/>
            <w:right w:w="0" w:type="dxa"/>
          </w:tblCellMar>
        </w:tblPrEx>
        <w:trPr>
          <w:trHeight w:val="2157" w:hRule="atLeast"/>
        </w:trPr>
        <w:tc>
          <w:tcPr>
            <w:tcW w:w="916" w:type="dxa"/>
            <w:tcBorders>
              <w:top w:val="single" w:color="000000" w:sz="8" w:space="0"/>
              <w:left w:val="single" w:color="auto" w:sz="4" w:space="0"/>
              <w:bottom w:val="single" w:color="000000" w:sz="8" w:space="0"/>
              <w:right w:val="single" w:color="000000" w:sz="8" w:space="0"/>
            </w:tcBorders>
            <w:shd w:val="clear" w:color="auto" w:fill="auto"/>
            <w:tcMar>
              <w:top w:w="15" w:type="dxa"/>
              <w:left w:w="76" w:type="dxa"/>
              <w:bottom w:w="0" w:type="dxa"/>
              <w:right w:w="76" w:type="dxa"/>
            </w:tcMar>
            <w:vAlign w:val="center"/>
          </w:tcPr>
          <w:p w14:paraId="4CCCC6DB">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2107" w:type="dxa"/>
            <w:tcBorders>
              <w:top w:val="single" w:color="000000" w:sz="8" w:space="0"/>
              <w:left w:val="single" w:color="000000" w:sz="8" w:space="0"/>
              <w:bottom w:val="single" w:color="000000" w:sz="8" w:space="0"/>
              <w:right w:val="single" w:color="000000" w:sz="8" w:space="0"/>
            </w:tcBorders>
            <w:vAlign w:val="center"/>
          </w:tcPr>
          <w:p w14:paraId="7ACD1BF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平推针式打印机</w:t>
            </w:r>
          </w:p>
        </w:tc>
        <w:tc>
          <w:tcPr>
            <w:tcW w:w="6140" w:type="dxa"/>
            <w:tcBorders>
              <w:top w:val="single" w:color="000000" w:sz="8" w:space="0"/>
              <w:left w:val="single" w:color="000000" w:sz="8" w:space="0"/>
              <w:bottom w:val="single" w:color="000000" w:sz="8" w:space="0"/>
              <w:right w:val="single" w:color="000000" w:sz="8" w:space="0"/>
            </w:tcBorders>
            <w:shd w:val="clear" w:color="auto" w:fill="auto"/>
            <w:tcMar>
              <w:top w:w="15" w:type="dxa"/>
              <w:left w:w="76" w:type="dxa"/>
              <w:bottom w:w="0" w:type="dxa"/>
              <w:right w:w="76" w:type="dxa"/>
            </w:tcMar>
            <w:vAlign w:val="center"/>
          </w:tcPr>
          <w:tbl>
            <w:tblPr>
              <w:tblStyle w:val="14"/>
              <w:tblW w:w="5560"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60"/>
            </w:tblGrid>
            <w:tr w14:paraId="6ADCE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5560" w:type="dxa"/>
                  <w:vMerge w:val="restart"/>
                  <w:tcBorders>
                    <w:top w:val="single" w:color="F79646" w:sz="4" w:space="0"/>
                    <w:left w:val="single" w:color="F79646" w:sz="4" w:space="0"/>
                    <w:bottom w:val="single" w:color="000000" w:sz="4" w:space="0"/>
                    <w:right w:val="single" w:color="F79646" w:sz="4" w:space="0"/>
                  </w:tcBorders>
                  <w:shd w:val="clear" w:color="auto" w:fill="auto"/>
                  <w:vAlign w:val="center"/>
                </w:tcPr>
                <w:p w14:paraId="56202E7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*115列≧打印宽度≧106列；针数≧24针；打印速度：中文超高速≧220汉字/秒；打印厚度：≥0.65mm；配备USB2.0数据线或并口线；适配符合安全可靠测评要求的计算机平台及符合安全可靠测评要求的操作系统。</w:t>
                  </w:r>
                </w:p>
              </w:tc>
            </w:tr>
            <w:tr w14:paraId="6AFBA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560" w:type="dxa"/>
                  <w:vMerge w:val="continue"/>
                  <w:tcBorders>
                    <w:top w:val="single" w:color="F79646" w:sz="4" w:space="0"/>
                    <w:left w:val="single" w:color="F79646" w:sz="4" w:space="0"/>
                    <w:bottom w:val="single" w:color="000000" w:sz="4" w:space="0"/>
                    <w:right w:val="single" w:color="F79646" w:sz="4" w:space="0"/>
                  </w:tcBorders>
                  <w:shd w:val="clear" w:color="auto" w:fill="auto"/>
                  <w:vAlign w:val="center"/>
                </w:tcPr>
                <w:p w14:paraId="2FB07A36">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4"/>
                      <w:szCs w:val="24"/>
                      <w:highlight w:val="none"/>
                      <w:u w:val="none"/>
                    </w:rPr>
                  </w:pPr>
                </w:p>
              </w:tc>
            </w:tr>
            <w:tr w14:paraId="5605D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5560" w:type="dxa"/>
                  <w:vMerge w:val="continue"/>
                  <w:tcBorders>
                    <w:top w:val="single" w:color="F79646" w:sz="4" w:space="0"/>
                    <w:left w:val="single" w:color="F79646" w:sz="4" w:space="0"/>
                    <w:bottom w:val="single" w:color="000000" w:sz="4" w:space="0"/>
                    <w:right w:val="single" w:color="F79646" w:sz="4" w:space="0"/>
                  </w:tcBorders>
                  <w:shd w:val="clear" w:color="auto" w:fill="auto"/>
                  <w:vAlign w:val="center"/>
                </w:tcPr>
                <w:p w14:paraId="3E4BD5F7">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4"/>
                      <w:szCs w:val="24"/>
                      <w:highlight w:val="none"/>
                      <w:u w:val="none"/>
                    </w:rPr>
                  </w:pPr>
                </w:p>
              </w:tc>
            </w:tr>
            <w:tr w14:paraId="2A917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560" w:type="dxa"/>
                  <w:vMerge w:val="continue"/>
                  <w:tcBorders>
                    <w:top w:val="single" w:color="F79646" w:sz="4" w:space="0"/>
                    <w:left w:val="single" w:color="F79646" w:sz="4" w:space="0"/>
                    <w:bottom w:val="single" w:color="000000" w:sz="4" w:space="0"/>
                    <w:right w:val="single" w:color="F79646" w:sz="4" w:space="0"/>
                  </w:tcBorders>
                  <w:shd w:val="clear" w:color="auto" w:fill="auto"/>
                  <w:vAlign w:val="center"/>
                </w:tcPr>
                <w:p w14:paraId="036ADE28">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4"/>
                      <w:szCs w:val="24"/>
                      <w:highlight w:val="none"/>
                      <w:u w:val="none"/>
                    </w:rPr>
                  </w:pPr>
                </w:p>
              </w:tc>
            </w:tr>
            <w:tr w14:paraId="238E0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560" w:type="dxa"/>
                  <w:vMerge w:val="continue"/>
                  <w:tcBorders>
                    <w:top w:val="single" w:color="F79646" w:sz="4" w:space="0"/>
                    <w:left w:val="single" w:color="F79646" w:sz="4" w:space="0"/>
                    <w:bottom w:val="single" w:color="000000" w:sz="4" w:space="0"/>
                    <w:right w:val="single" w:color="F79646" w:sz="4" w:space="0"/>
                  </w:tcBorders>
                  <w:shd w:val="clear" w:color="auto" w:fill="auto"/>
                  <w:vAlign w:val="center"/>
                </w:tcPr>
                <w:p w14:paraId="0A023D91">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4"/>
                      <w:szCs w:val="24"/>
                      <w:highlight w:val="none"/>
                      <w:u w:val="none"/>
                    </w:rPr>
                  </w:pPr>
                </w:p>
              </w:tc>
            </w:tr>
            <w:tr w14:paraId="46A49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5560" w:type="dxa"/>
                  <w:tcBorders>
                    <w:top w:val="single" w:color="000000" w:sz="4" w:space="0"/>
                    <w:left w:val="single" w:color="F79646" w:sz="4" w:space="0"/>
                    <w:bottom w:val="single" w:color="000000" w:sz="4" w:space="0"/>
                    <w:right w:val="single" w:color="F79646" w:sz="4" w:space="0"/>
                  </w:tcBorders>
                  <w:shd w:val="clear" w:color="auto" w:fill="auto"/>
                  <w:vAlign w:val="center"/>
                </w:tcPr>
                <w:p w14:paraId="733B393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 xml:space="preserve">复写能力：≧1份原件+3份拷贝                      </w:t>
                  </w:r>
                </w:p>
              </w:tc>
            </w:tr>
            <w:tr w14:paraId="39E4BD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5560" w:type="dxa"/>
                  <w:tcBorders>
                    <w:top w:val="single" w:color="000000" w:sz="4" w:space="0"/>
                    <w:left w:val="single" w:color="F79646" w:sz="4" w:space="0"/>
                    <w:bottom w:val="single" w:color="F79646" w:sz="4" w:space="0"/>
                    <w:right w:val="single" w:color="F79646" w:sz="4" w:space="0"/>
                  </w:tcBorders>
                  <w:shd w:val="clear" w:color="auto" w:fill="auto"/>
                  <w:vAlign w:val="center"/>
                </w:tcPr>
                <w:p w14:paraId="76BBC8F9">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标配接口：标配并口+USB接口</w:t>
                  </w:r>
                </w:p>
              </w:tc>
            </w:tr>
          </w:tbl>
          <w:p w14:paraId="79F19E91">
            <w:pPr>
              <w:keepNext w:val="0"/>
              <w:keepLines w:val="0"/>
              <w:widowControl/>
              <w:suppressLineNumbers w:val="0"/>
              <w:kinsoku w:val="0"/>
              <w:overflowPunct w:val="0"/>
              <w:spacing w:before="0" w:beforeAutospacing="0" w:after="0" w:afterAutospacing="0"/>
              <w:ind w:left="0" w:right="0"/>
              <w:jc w:val="left"/>
              <w:textAlignment w:val="baseline"/>
              <w:rPr>
                <w:rFonts w:hint="eastAsia" w:ascii="宋体" w:hAnsi="宋体" w:eastAsia="宋体" w:cs="宋体"/>
                <w:color w:val="auto"/>
                <w:kern w:val="0"/>
                <w:sz w:val="24"/>
                <w:szCs w:val="24"/>
                <w:highlight w:val="none"/>
              </w:rPr>
            </w:pPr>
          </w:p>
        </w:tc>
      </w:tr>
      <w:tr w14:paraId="2F5CC0CB">
        <w:tblPrEx>
          <w:tblCellMar>
            <w:top w:w="0" w:type="dxa"/>
            <w:left w:w="0" w:type="dxa"/>
            <w:bottom w:w="0" w:type="dxa"/>
            <w:right w:w="0" w:type="dxa"/>
          </w:tblCellMar>
        </w:tblPrEx>
        <w:trPr>
          <w:trHeight w:val="2157" w:hRule="atLeast"/>
        </w:trPr>
        <w:tc>
          <w:tcPr>
            <w:tcW w:w="916" w:type="dxa"/>
            <w:tcBorders>
              <w:top w:val="single" w:color="000000" w:sz="8" w:space="0"/>
              <w:left w:val="single" w:color="auto" w:sz="4" w:space="0"/>
              <w:bottom w:val="single" w:color="000000" w:sz="8" w:space="0"/>
              <w:right w:val="single" w:color="000000" w:sz="8" w:space="0"/>
            </w:tcBorders>
            <w:shd w:val="clear" w:color="auto" w:fill="auto"/>
            <w:tcMar>
              <w:top w:w="15" w:type="dxa"/>
              <w:left w:w="76" w:type="dxa"/>
              <w:bottom w:w="0" w:type="dxa"/>
              <w:right w:w="76" w:type="dxa"/>
            </w:tcMar>
            <w:vAlign w:val="center"/>
          </w:tcPr>
          <w:p w14:paraId="55D0D959">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p>
        </w:tc>
        <w:tc>
          <w:tcPr>
            <w:tcW w:w="2107" w:type="dxa"/>
            <w:tcBorders>
              <w:top w:val="single" w:color="000000" w:sz="8" w:space="0"/>
              <w:left w:val="single" w:color="000000" w:sz="8" w:space="0"/>
              <w:bottom w:val="single" w:color="000000" w:sz="8" w:space="0"/>
              <w:right w:val="single" w:color="000000" w:sz="8" w:space="0"/>
            </w:tcBorders>
            <w:vAlign w:val="center"/>
          </w:tcPr>
          <w:p w14:paraId="64FFBEC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平推针式打印机（厚）</w:t>
            </w:r>
          </w:p>
        </w:tc>
        <w:tc>
          <w:tcPr>
            <w:tcW w:w="6140" w:type="dxa"/>
            <w:tcBorders>
              <w:top w:val="single" w:color="000000" w:sz="8" w:space="0"/>
              <w:left w:val="single" w:color="000000" w:sz="8" w:space="0"/>
              <w:bottom w:val="single" w:color="000000" w:sz="8" w:space="0"/>
              <w:right w:val="single" w:color="000000" w:sz="8" w:space="0"/>
            </w:tcBorders>
            <w:shd w:val="clear" w:color="auto" w:fill="auto"/>
            <w:tcMar>
              <w:top w:w="15" w:type="dxa"/>
              <w:left w:w="76" w:type="dxa"/>
              <w:bottom w:w="0" w:type="dxa"/>
              <w:right w:w="76" w:type="dxa"/>
            </w:tcMar>
            <w:vAlign w:val="center"/>
          </w:tcPr>
          <w:tbl>
            <w:tblPr>
              <w:tblStyle w:val="14"/>
              <w:tblW w:w="5560"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60"/>
            </w:tblGrid>
            <w:tr w14:paraId="65F41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2" w:hRule="atLeast"/>
              </w:trPr>
              <w:tc>
                <w:tcPr>
                  <w:tcW w:w="5560" w:type="dxa"/>
                  <w:vMerge w:val="restart"/>
                  <w:tcBorders>
                    <w:top w:val="single" w:color="F79646" w:sz="4" w:space="0"/>
                    <w:left w:val="single" w:color="F79646" w:sz="4" w:space="0"/>
                    <w:bottom w:val="single" w:color="000000" w:sz="4" w:space="0"/>
                    <w:right w:val="single" w:color="F79646" w:sz="4" w:space="0"/>
                  </w:tcBorders>
                  <w:shd w:val="clear" w:color="auto" w:fill="auto"/>
                  <w:vAlign w:val="center"/>
                </w:tcPr>
                <w:p w14:paraId="469AAA4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*115列≧打印宽度≧106列；针数≧24针；打印速度：中文超高速≧220汉字/秒；打印厚度：打印厚度≧1.5mm；配备USB2.0数据线或并口线；适配符合安全可靠测评要求的计算机平台及符合安全可靠测评要求的操作系统。</w:t>
                  </w:r>
                </w:p>
              </w:tc>
            </w:tr>
            <w:tr w14:paraId="02991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560" w:type="dxa"/>
                  <w:vMerge w:val="continue"/>
                  <w:tcBorders>
                    <w:top w:val="single" w:color="F79646" w:sz="4" w:space="0"/>
                    <w:left w:val="single" w:color="F79646" w:sz="4" w:space="0"/>
                    <w:bottom w:val="single" w:color="000000" w:sz="4" w:space="0"/>
                    <w:right w:val="single" w:color="F79646" w:sz="4" w:space="0"/>
                  </w:tcBorders>
                  <w:shd w:val="clear" w:color="auto" w:fill="auto"/>
                  <w:vAlign w:val="center"/>
                </w:tcPr>
                <w:p w14:paraId="5FD4F775">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4"/>
                      <w:szCs w:val="24"/>
                      <w:highlight w:val="none"/>
                      <w:u w:val="none"/>
                    </w:rPr>
                  </w:pPr>
                </w:p>
              </w:tc>
            </w:tr>
            <w:tr w14:paraId="7CC52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560" w:type="dxa"/>
                  <w:vMerge w:val="continue"/>
                  <w:tcBorders>
                    <w:top w:val="single" w:color="F79646" w:sz="4" w:space="0"/>
                    <w:left w:val="single" w:color="F79646" w:sz="4" w:space="0"/>
                    <w:bottom w:val="single" w:color="000000" w:sz="4" w:space="0"/>
                    <w:right w:val="single" w:color="F79646" w:sz="4" w:space="0"/>
                  </w:tcBorders>
                  <w:shd w:val="clear" w:color="auto" w:fill="auto"/>
                  <w:vAlign w:val="center"/>
                </w:tcPr>
                <w:p w14:paraId="775C8397">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4"/>
                      <w:szCs w:val="24"/>
                      <w:highlight w:val="none"/>
                      <w:u w:val="none"/>
                    </w:rPr>
                  </w:pPr>
                </w:p>
              </w:tc>
            </w:tr>
            <w:tr w14:paraId="4F826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560" w:type="dxa"/>
                  <w:vMerge w:val="continue"/>
                  <w:tcBorders>
                    <w:top w:val="single" w:color="F79646" w:sz="4" w:space="0"/>
                    <w:left w:val="single" w:color="F79646" w:sz="4" w:space="0"/>
                    <w:bottom w:val="single" w:color="000000" w:sz="4" w:space="0"/>
                    <w:right w:val="single" w:color="F79646" w:sz="4" w:space="0"/>
                  </w:tcBorders>
                  <w:shd w:val="clear" w:color="auto" w:fill="auto"/>
                  <w:vAlign w:val="center"/>
                </w:tcPr>
                <w:p w14:paraId="19568DC6">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4"/>
                      <w:szCs w:val="24"/>
                      <w:highlight w:val="none"/>
                      <w:u w:val="none"/>
                    </w:rPr>
                  </w:pPr>
                </w:p>
              </w:tc>
            </w:tr>
            <w:tr w14:paraId="767C2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560" w:type="dxa"/>
                  <w:vMerge w:val="continue"/>
                  <w:tcBorders>
                    <w:top w:val="single" w:color="F79646" w:sz="4" w:space="0"/>
                    <w:left w:val="single" w:color="F79646" w:sz="4" w:space="0"/>
                    <w:bottom w:val="single" w:color="000000" w:sz="4" w:space="0"/>
                    <w:right w:val="single" w:color="F79646" w:sz="4" w:space="0"/>
                  </w:tcBorders>
                  <w:shd w:val="clear" w:color="auto" w:fill="auto"/>
                  <w:vAlign w:val="center"/>
                </w:tcPr>
                <w:p w14:paraId="2BAEE591">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4"/>
                      <w:szCs w:val="24"/>
                      <w:highlight w:val="none"/>
                      <w:u w:val="none"/>
                    </w:rPr>
                  </w:pPr>
                </w:p>
              </w:tc>
            </w:tr>
            <w:tr w14:paraId="6516B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560" w:type="dxa"/>
                  <w:tcBorders>
                    <w:top w:val="single" w:color="000000" w:sz="4" w:space="0"/>
                    <w:left w:val="single" w:color="F79646" w:sz="4" w:space="0"/>
                    <w:bottom w:val="single" w:color="000000" w:sz="4" w:space="0"/>
                    <w:right w:val="single" w:color="F79646" w:sz="4" w:space="0"/>
                  </w:tcBorders>
                  <w:shd w:val="clear" w:color="auto" w:fill="auto"/>
                  <w:vAlign w:val="center"/>
                </w:tcPr>
                <w:p w14:paraId="04C5C9EE">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复写能力：≧1份原件+3份拷贝                     </w:t>
                  </w:r>
                </w:p>
              </w:tc>
            </w:tr>
            <w:tr w14:paraId="65E43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5560" w:type="dxa"/>
                  <w:tcBorders>
                    <w:top w:val="single" w:color="000000" w:sz="4" w:space="0"/>
                    <w:left w:val="single" w:color="F79646" w:sz="4" w:space="0"/>
                    <w:bottom w:val="single" w:color="F79646" w:sz="4" w:space="0"/>
                    <w:right w:val="single" w:color="F79646" w:sz="4" w:space="0"/>
                  </w:tcBorders>
                  <w:shd w:val="clear" w:color="auto" w:fill="auto"/>
                  <w:vAlign w:val="center"/>
                </w:tcPr>
                <w:p w14:paraId="473E6E2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标配接口：标配并口+USB接口</w:t>
                  </w:r>
                </w:p>
              </w:tc>
            </w:tr>
          </w:tbl>
          <w:p w14:paraId="6A82CB0E">
            <w:pPr>
              <w:keepNext w:val="0"/>
              <w:keepLines w:val="0"/>
              <w:widowControl/>
              <w:suppressLineNumbers w:val="0"/>
              <w:kinsoku w:val="0"/>
              <w:overflowPunct w:val="0"/>
              <w:spacing w:before="0" w:beforeAutospacing="0" w:after="0" w:afterAutospacing="0"/>
              <w:ind w:left="0" w:right="0"/>
              <w:jc w:val="left"/>
              <w:textAlignment w:val="baseline"/>
              <w:rPr>
                <w:rFonts w:hint="eastAsia" w:ascii="宋体" w:hAnsi="宋体" w:eastAsia="宋体" w:cs="宋体"/>
                <w:color w:val="auto"/>
                <w:kern w:val="0"/>
                <w:sz w:val="24"/>
                <w:szCs w:val="24"/>
                <w:highlight w:val="none"/>
              </w:rPr>
            </w:pPr>
          </w:p>
        </w:tc>
      </w:tr>
      <w:tr w14:paraId="1D9F745B">
        <w:tblPrEx>
          <w:tblCellMar>
            <w:top w:w="0" w:type="dxa"/>
            <w:left w:w="0" w:type="dxa"/>
            <w:bottom w:w="0" w:type="dxa"/>
            <w:right w:w="0" w:type="dxa"/>
          </w:tblCellMar>
        </w:tblPrEx>
        <w:trPr>
          <w:trHeight w:val="2157" w:hRule="atLeast"/>
        </w:trPr>
        <w:tc>
          <w:tcPr>
            <w:tcW w:w="916" w:type="dxa"/>
            <w:tcBorders>
              <w:top w:val="single" w:color="000000" w:sz="8" w:space="0"/>
              <w:left w:val="single" w:color="auto" w:sz="4" w:space="0"/>
              <w:bottom w:val="single" w:color="000000" w:sz="8" w:space="0"/>
              <w:right w:val="single" w:color="000000" w:sz="8" w:space="0"/>
            </w:tcBorders>
            <w:shd w:val="clear" w:color="auto" w:fill="auto"/>
            <w:tcMar>
              <w:top w:w="15" w:type="dxa"/>
              <w:left w:w="76" w:type="dxa"/>
              <w:bottom w:w="0" w:type="dxa"/>
              <w:right w:w="76" w:type="dxa"/>
            </w:tcMar>
            <w:vAlign w:val="center"/>
          </w:tcPr>
          <w:p w14:paraId="1D85606D">
            <w:pPr>
              <w:keepNext w:val="0"/>
              <w:keepLines w:val="0"/>
              <w:suppressLineNumbers w:val="0"/>
              <w:spacing w:before="0" w:beforeAutospacing="0" w:after="0" w:afterAutospacing="0"/>
              <w:ind w:left="0" w:right="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p>
        </w:tc>
        <w:tc>
          <w:tcPr>
            <w:tcW w:w="2107" w:type="dxa"/>
            <w:tcBorders>
              <w:top w:val="single" w:color="000000" w:sz="8" w:space="0"/>
              <w:left w:val="single" w:color="000000" w:sz="8" w:space="0"/>
              <w:bottom w:val="single" w:color="000000" w:sz="8" w:space="0"/>
              <w:right w:val="single" w:color="000000" w:sz="8" w:space="0"/>
            </w:tcBorders>
            <w:vAlign w:val="center"/>
          </w:tcPr>
          <w:p w14:paraId="7B2E8E8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auto"/>
                <w:sz w:val="24"/>
                <w:szCs w:val="24"/>
                <w:highlight w:val="none"/>
              </w:rPr>
            </w:pPr>
            <w:r>
              <w:rPr>
                <w:rFonts w:hint="eastAsia" w:ascii="宋体" w:hAnsi="宋体" w:eastAsia="宋体" w:cs="宋体"/>
                <w:b/>
                <w:bCs/>
                <w:i w:val="0"/>
                <w:iCs w:val="0"/>
                <w:color w:val="auto"/>
                <w:kern w:val="0"/>
                <w:sz w:val="24"/>
                <w:szCs w:val="24"/>
                <w:highlight w:val="none"/>
                <w:u w:val="none"/>
                <w:lang w:val="en-US" w:eastAsia="zh-CN" w:bidi="ar"/>
              </w:rPr>
              <w:t xml:space="preserve"> 存折针式打印机 </w:t>
            </w:r>
          </w:p>
        </w:tc>
        <w:tc>
          <w:tcPr>
            <w:tcW w:w="6140" w:type="dxa"/>
            <w:tcBorders>
              <w:top w:val="single" w:color="000000" w:sz="8" w:space="0"/>
              <w:left w:val="single" w:color="000000" w:sz="8" w:space="0"/>
              <w:bottom w:val="single" w:color="000000" w:sz="8" w:space="0"/>
              <w:right w:val="single" w:color="000000" w:sz="8" w:space="0"/>
            </w:tcBorders>
            <w:shd w:val="clear" w:color="auto" w:fill="auto"/>
            <w:tcMar>
              <w:top w:w="15" w:type="dxa"/>
              <w:left w:w="76" w:type="dxa"/>
              <w:bottom w:w="0" w:type="dxa"/>
              <w:right w:w="76" w:type="dxa"/>
            </w:tcMar>
            <w:vAlign w:val="center"/>
          </w:tcPr>
          <w:tbl>
            <w:tblPr>
              <w:tblStyle w:val="14"/>
              <w:tblW w:w="5480"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480"/>
            </w:tblGrid>
            <w:tr w14:paraId="5DE1F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5480" w:type="dxa"/>
                  <w:vMerge w:val="restart"/>
                  <w:tcBorders>
                    <w:top w:val="single" w:color="F79646" w:sz="4" w:space="0"/>
                    <w:left w:val="single" w:color="F79646" w:sz="4" w:space="0"/>
                    <w:bottom w:val="single" w:color="000000" w:sz="4" w:space="0"/>
                    <w:right w:val="single" w:color="F79646" w:sz="4" w:space="0"/>
                  </w:tcBorders>
                  <w:shd w:val="clear" w:color="auto" w:fill="auto"/>
                  <w:vAlign w:val="center"/>
                </w:tcPr>
                <w:p w14:paraId="36B73887">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*存折打印机；打印速度：中文超高速≧250汉字/秒；最大打印厚度≥2.5mm；配备USB2.0数据线或并口线；适配符合安全可靠测评要求的计算机平台及符合安全可靠测评要求的操作系统。</w:t>
                  </w:r>
                </w:p>
              </w:tc>
            </w:tr>
            <w:tr w14:paraId="4FF3B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trPr>
              <w:tc>
                <w:tcPr>
                  <w:tcW w:w="5480" w:type="dxa"/>
                  <w:vMerge w:val="continue"/>
                  <w:tcBorders>
                    <w:top w:val="single" w:color="F79646" w:sz="4" w:space="0"/>
                    <w:left w:val="single" w:color="F79646" w:sz="4" w:space="0"/>
                    <w:bottom w:val="single" w:color="000000" w:sz="4" w:space="0"/>
                    <w:right w:val="single" w:color="F79646" w:sz="4" w:space="0"/>
                  </w:tcBorders>
                  <w:shd w:val="clear" w:color="auto" w:fill="auto"/>
                  <w:vAlign w:val="center"/>
                </w:tcPr>
                <w:p w14:paraId="1AA52CFF">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4"/>
                      <w:szCs w:val="24"/>
                      <w:highlight w:val="none"/>
                      <w:u w:val="none"/>
                    </w:rPr>
                  </w:pPr>
                </w:p>
              </w:tc>
            </w:tr>
            <w:tr w14:paraId="648E1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trPr>
              <w:tc>
                <w:tcPr>
                  <w:tcW w:w="5480" w:type="dxa"/>
                  <w:vMerge w:val="continue"/>
                  <w:tcBorders>
                    <w:top w:val="single" w:color="F79646" w:sz="4" w:space="0"/>
                    <w:left w:val="single" w:color="F79646" w:sz="4" w:space="0"/>
                    <w:bottom w:val="single" w:color="000000" w:sz="4" w:space="0"/>
                    <w:right w:val="single" w:color="F79646" w:sz="4" w:space="0"/>
                  </w:tcBorders>
                  <w:shd w:val="clear" w:color="auto" w:fill="auto"/>
                  <w:vAlign w:val="center"/>
                </w:tcPr>
                <w:p w14:paraId="4EEE3631">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4"/>
                      <w:szCs w:val="24"/>
                      <w:highlight w:val="none"/>
                      <w:u w:val="none"/>
                    </w:rPr>
                  </w:pPr>
                </w:p>
              </w:tc>
            </w:tr>
            <w:tr w14:paraId="06E5AE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trPr>
              <w:tc>
                <w:tcPr>
                  <w:tcW w:w="5480" w:type="dxa"/>
                  <w:vMerge w:val="continue"/>
                  <w:tcBorders>
                    <w:top w:val="single" w:color="F79646" w:sz="4" w:space="0"/>
                    <w:left w:val="single" w:color="F79646" w:sz="4" w:space="0"/>
                    <w:bottom w:val="single" w:color="000000" w:sz="4" w:space="0"/>
                    <w:right w:val="single" w:color="F79646" w:sz="4" w:space="0"/>
                  </w:tcBorders>
                  <w:shd w:val="clear" w:color="auto" w:fill="auto"/>
                  <w:vAlign w:val="center"/>
                </w:tcPr>
                <w:p w14:paraId="4134647E">
                  <w:pPr>
                    <w:keepNext w:val="0"/>
                    <w:keepLines w:val="0"/>
                    <w:suppressLineNumbers w:val="0"/>
                    <w:spacing w:before="0" w:beforeAutospacing="0" w:after="0" w:afterAutospacing="0"/>
                    <w:ind w:left="0" w:right="0"/>
                    <w:jc w:val="left"/>
                    <w:rPr>
                      <w:rFonts w:hint="eastAsia" w:ascii="宋体" w:hAnsi="宋体" w:eastAsia="宋体" w:cs="宋体"/>
                      <w:b/>
                      <w:bCs/>
                      <w:i w:val="0"/>
                      <w:iCs w:val="0"/>
                      <w:color w:val="auto"/>
                      <w:sz w:val="24"/>
                      <w:szCs w:val="24"/>
                      <w:highlight w:val="none"/>
                      <w:u w:val="none"/>
                    </w:rPr>
                  </w:pPr>
                </w:p>
              </w:tc>
            </w:tr>
            <w:tr w14:paraId="57E54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5480" w:type="dxa"/>
                  <w:tcBorders>
                    <w:top w:val="single" w:color="000000" w:sz="4" w:space="0"/>
                    <w:left w:val="single" w:color="F79646" w:sz="4" w:space="0"/>
                    <w:bottom w:val="single" w:color="000000" w:sz="4" w:space="0"/>
                    <w:right w:val="single" w:color="F79646" w:sz="4" w:space="0"/>
                  </w:tcBorders>
                  <w:shd w:val="clear" w:color="auto" w:fill="auto"/>
                  <w:vAlign w:val="center"/>
                </w:tcPr>
                <w:p w14:paraId="23DF95B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 xml:space="preserve">复写能力：≧1份原件+3份拷贝                </w:t>
                  </w:r>
                </w:p>
              </w:tc>
            </w:tr>
            <w:tr w14:paraId="111CD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5480" w:type="dxa"/>
                  <w:tcBorders>
                    <w:top w:val="single" w:color="000000" w:sz="4" w:space="0"/>
                    <w:left w:val="single" w:color="F79646" w:sz="4" w:space="0"/>
                    <w:bottom w:val="single" w:color="000000" w:sz="4" w:space="0"/>
                    <w:right w:val="single" w:color="F79646" w:sz="4" w:space="0"/>
                  </w:tcBorders>
                  <w:shd w:val="clear" w:color="auto" w:fill="auto"/>
                  <w:noWrap/>
                  <w:vAlign w:val="bottom"/>
                </w:tcPr>
                <w:p w14:paraId="6DF18DAA">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标配接口：标配并口+USB接口</w:t>
                  </w:r>
                </w:p>
              </w:tc>
            </w:tr>
          </w:tbl>
          <w:p w14:paraId="26F1C90E">
            <w:pPr>
              <w:keepNext w:val="0"/>
              <w:keepLines w:val="0"/>
              <w:widowControl/>
              <w:suppressLineNumbers w:val="0"/>
              <w:kinsoku w:val="0"/>
              <w:overflowPunct w:val="0"/>
              <w:spacing w:before="0" w:beforeAutospacing="0" w:after="0" w:afterAutospacing="0"/>
              <w:ind w:left="0" w:right="0"/>
              <w:jc w:val="left"/>
              <w:textAlignment w:val="baseline"/>
              <w:rPr>
                <w:rFonts w:hint="eastAsia" w:ascii="宋体" w:hAnsi="宋体" w:eastAsia="宋体" w:cs="宋体"/>
                <w:color w:val="auto"/>
                <w:kern w:val="0"/>
                <w:sz w:val="24"/>
                <w:szCs w:val="24"/>
                <w:highlight w:val="none"/>
              </w:rPr>
            </w:pPr>
          </w:p>
        </w:tc>
      </w:tr>
    </w:tbl>
    <w:p w14:paraId="260CED37">
      <w:pPr>
        <w:spacing w:line="360" w:lineRule="auto"/>
        <w:rPr>
          <w:rFonts w:hint="eastAsia" w:ascii="宋体" w:hAnsi="宋体"/>
          <w:color w:val="auto"/>
          <w:szCs w:val="21"/>
          <w:highlight w:val="none"/>
        </w:rPr>
      </w:pPr>
    </w:p>
    <w:p w14:paraId="201A68EA">
      <w:pPr>
        <w:spacing w:line="360" w:lineRule="auto"/>
        <w:rPr>
          <w:rFonts w:ascii="宋体" w:hAnsi="宋体"/>
          <w:color w:val="auto"/>
          <w:szCs w:val="21"/>
          <w:highlight w:val="none"/>
        </w:rPr>
      </w:pPr>
      <w:r>
        <w:rPr>
          <w:rFonts w:hint="eastAsia" w:ascii="宋体" w:hAnsi="宋体"/>
          <w:color w:val="auto"/>
          <w:szCs w:val="21"/>
          <w:highlight w:val="none"/>
        </w:rPr>
        <w:t>备注：</w:t>
      </w:r>
    </w:p>
    <w:p w14:paraId="7DA8E7FE">
      <w:pPr>
        <w:shd w:val="clear" w:color="auto" w:fill="FFFFFF"/>
        <w:spacing w:line="360" w:lineRule="auto"/>
        <w:ind w:firstLine="422" w:firstLineChars="200"/>
        <w:rPr>
          <w:rFonts w:ascii="宋体" w:hAnsi="宋体"/>
          <w:color w:val="auto"/>
          <w:szCs w:val="21"/>
          <w:highlight w:val="none"/>
        </w:rPr>
      </w:pPr>
      <w:r>
        <w:rPr>
          <w:rFonts w:hint="eastAsia" w:ascii="宋体" w:hAnsi="宋体"/>
          <w:b/>
          <w:color w:val="auto"/>
          <w:szCs w:val="21"/>
          <w:highlight w:val="none"/>
        </w:rPr>
        <w:t>*1、</w:t>
      </w:r>
      <w:r>
        <w:rPr>
          <w:rFonts w:hint="eastAsia" w:ascii="宋体" w:hAnsi="宋体"/>
          <w:b/>
          <w:color w:val="auto"/>
          <w:highlight w:val="none"/>
        </w:rPr>
        <w:t>投标人投标的针式打印机品目号（1-1至1-4）产品必须为同一品牌产品，否则将导致投标无效。</w:t>
      </w:r>
    </w:p>
    <w:p w14:paraId="70ED5D61">
      <w:pPr>
        <w:shd w:val="clear" w:color="auto" w:fill="FFFFFF"/>
        <w:spacing w:line="360" w:lineRule="auto"/>
        <w:ind w:firstLine="422" w:firstLineChars="200"/>
        <w:rPr>
          <w:rFonts w:ascii="宋体" w:hAnsi="宋体"/>
          <w:b/>
          <w:color w:val="auto"/>
          <w:szCs w:val="21"/>
          <w:highlight w:val="none"/>
        </w:rPr>
      </w:pPr>
      <w:r>
        <w:rPr>
          <w:rFonts w:hint="eastAsia" w:ascii="宋体" w:hAnsi="宋体"/>
          <w:b/>
          <w:color w:val="auto"/>
          <w:szCs w:val="21"/>
          <w:highlight w:val="none"/>
        </w:rPr>
        <w:t>*2、投标人须在投标文件中作出明确承诺：采购单位可调整各规格产品的实际供货数量；采购单位有权向厦门市政府机关事业单位和福建省内其他终端用户进行供货。投标人须提供相应的安装及售后服务保障，所需费用已包含在报价总价中。投标人承诺合同期内采购单位可增加或者减少各型号的采购数量，仍按不高于中标价格执行。</w:t>
      </w:r>
    </w:p>
    <w:p w14:paraId="1611B987">
      <w:pPr>
        <w:spacing w:line="360" w:lineRule="auto"/>
        <w:ind w:firstLine="422" w:firstLineChars="200"/>
        <w:rPr>
          <w:rFonts w:hint="eastAsia" w:ascii="宋体" w:hAnsi="宋体"/>
          <w:b/>
          <w:color w:val="auto"/>
          <w:szCs w:val="21"/>
          <w:highlight w:val="none"/>
        </w:rPr>
      </w:pPr>
      <w:r>
        <w:rPr>
          <w:rFonts w:hint="eastAsia" w:ascii="宋体" w:hAnsi="宋体"/>
          <w:b/>
          <w:color w:val="auto"/>
          <w:szCs w:val="21"/>
          <w:highlight w:val="none"/>
        </w:rPr>
        <w:t>*3、本项目采购的设备按照销售对象及销售区域的不同而分别与采购单位签订合同，即签订一份适用于厦门市机关事业单位社会团体、一份适用于福建省内其他终端用户采购合同。两份合同的总数量和总金额为本次招标采购的总数量和总金额。</w:t>
      </w:r>
    </w:p>
    <w:p w14:paraId="5CB293FD">
      <w:pPr>
        <w:spacing w:line="360" w:lineRule="auto"/>
        <w:ind w:firstLine="422" w:firstLineChars="200"/>
        <w:rPr>
          <w:rFonts w:hint="eastAsia" w:ascii="宋体" w:hAnsi="宋体"/>
          <w:b/>
          <w:color w:val="auto"/>
          <w:szCs w:val="21"/>
          <w:highlight w:val="none"/>
        </w:rPr>
      </w:pPr>
      <w:r>
        <w:rPr>
          <w:rFonts w:hint="eastAsia" w:ascii="宋体" w:hAnsi="宋体"/>
          <w:b/>
          <w:color w:val="auto"/>
          <w:szCs w:val="21"/>
          <w:highlight w:val="none"/>
        </w:rPr>
        <w:t>*4、投标人所投设备应符合国家强制性产品认证标准的要求，获得CCC认证证书，并在投标文件中提供CCC认证证书的复印件。</w:t>
      </w:r>
    </w:p>
    <w:p w14:paraId="3E50C98E">
      <w:pPr>
        <w:spacing w:line="360" w:lineRule="auto"/>
        <w:ind w:firstLine="422" w:firstLineChars="200"/>
        <w:rPr>
          <w:rFonts w:hint="eastAsia" w:ascii="宋体" w:hAnsi="宋体"/>
          <w:b/>
          <w:bCs/>
          <w:color w:val="auto"/>
          <w:szCs w:val="21"/>
          <w:highlight w:val="none"/>
        </w:rPr>
      </w:pPr>
      <w:r>
        <w:rPr>
          <w:rFonts w:hint="eastAsia" w:ascii="宋体" w:hAnsi="宋体"/>
          <w:b/>
          <w:color w:val="auto"/>
          <w:szCs w:val="21"/>
          <w:highlight w:val="none"/>
        </w:rPr>
        <w:t>*5、</w:t>
      </w:r>
      <w:r>
        <w:rPr>
          <w:rFonts w:hint="eastAsia" w:ascii="宋体" w:hAnsi="宋体"/>
          <w:b/>
          <w:color w:val="auto"/>
          <w:szCs w:val="21"/>
          <w:highlight w:val="none"/>
          <w:lang w:val="en-US" w:eastAsia="zh-CN"/>
        </w:rPr>
        <w:t>针式打印机为</w:t>
      </w:r>
      <w:r>
        <w:rPr>
          <w:rFonts w:hint="eastAsia" w:ascii="宋体" w:hAnsi="宋体" w:eastAsia="宋体"/>
          <w:b/>
          <w:color w:val="auto"/>
          <w:sz w:val="21"/>
          <w:szCs w:val="21"/>
          <w:highlight w:val="none"/>
        </w:rPr>
        <w:t>政府强制采购的节能产品</w:t>
      </w:r>
      <w:r>
        <w:rPr>
          <w:rFonts w:hint="eastAsia" w:ascii="宋体" w:hAnsi="宋体"/>
          <w:b/>
          <w:color w:val="auto"/>
          <w:sz w:val="21"/>
          <w:szCs w:val="21"/>
          <w:highlight w:val="none"/>
          <w:lang w:eastAsia="zh-CN"/>
        </w:rPr>
        <w:t>，</w:t>
      </w:r>
      <w:r>
        <w:rPr>
          <w:rFonts w:hint="eastAsia" w:ascii="宋体" w:hAnsi="宋体"/>
          <w:b/>
          <w:color w:val="auto"/>
          <w:sz w:val="21"/>
          <w:szCs w:val="21"/>
          <w:highlight w:val="none"/>
          <w:lang w:val="en-US" w:eastAsia="zh-CN"/>
        </w:rPr>
        <w:t>投标人应提供</w:t>
      </w:r>
      <w:r>
        <w:rPr>
          <w:rFonts w:hint="eastAsia" w:ascii="宋体" w:hAnsi="宋体" w:cs="Arial"/>
          <w:b/>
          <w:bCs/>
          <w:color w:val="auto"/>
          <w:szCs w:val="21"/>
          <w:highlight w:val="none"/>
        </w:rPr>
        <w:t>节能产品认证证书复印件（加盖投标人公章）。</w:t>
      </w:r>
    </w:p>
    <w:p w14:paraId="2FA6E618">
      <w:pPr>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*6、针对本项目招标文件第三章中</w:t>
      </w:r>
      <w:r>
        <w:rPr>
          <w:rFonts w:hint="eastAsia" w:ascii="宋体" w:hAnsi="宋体" w:cs="Arial"/>
          <w:b/>
          <w:bCs/>
          <w:color w:val="auto"/>
          <w:szCs w:val="21"/>
          <w:highlight w:val="none"/>
          <w:lang w:val="en-US" w:eastAsia="zh-CN"/>
        </w:rPr>
        <w:t>带</w:t>
      </w:r>
      <w:r>
        <w:rPr>
          <w:rFonts w:hint="eastAsia" w:ascii="宋体" w:hAnsi="宋体" w:cs="Arial"/>
          <w:b/>
          <w:bCs/>
          <w:color w:val="auto"/>
          <w:szCs w:val="21"/>
          <w:highlight w:val="none"/>
        </w:rPr>
        <w:t>*号</w:t>
      </w:r>
      <w:r>
        <w:rPr>
          <w:rFonts w:hint="eastAsia" w:ascii="宋体" w:hAnsi="宋体" w:cs="Arial"/>
          <w:b/>
          <w:bCs/>
          <w:color w:val="auto"/>
          <w:szCs w:val="21"/>
          <w:highlight w:val="none"/>
          <w:lang w:val="en-US" w:eastAsia="zh-CN"/>
        </w:rPr>
        <w:t>的</w:t>
      </w:r>
      <w:r>
        <w:rPr>
          <w:rFonts w:hint="eastAsia" w:ascii="宋体" w:hAnsi="宋体" w:cs="Arial"/>
          <w:b/>
          <w:bCs/>
          <w:color w:val="auto"/>
          <w:szCs w:val="21"/>
          <w:highlight w:val="none"/>
        </w:rPr>
        <w:t>技术参数，投标人需提供：</w:t>
      </w:r>
      <w:r>
        <w:rPr>
          <w:rFonts w:hint="eastAsia" w:ascii="宋体" w:hAnsi="宋体" w:cs="宋体"/>
          <w:b/>
          <w:bCs/>
          <w:color w:val="auto"/>
          <w:szCs w:val="21"/>
          <w:highlight w:val="none"/>
        </w:rPr>
        <w:t>①</w:t>
      </w:r>
      <w:r>
        <w:rPr>
          <w:rFonts w:hint="eastAsia" w:ascii="宋体" w:hAnsi="宋体" w:cs="Arial"/>
          <w:b/>
          <w:bCs/>
          <w:color w:val="auto"/>
          <w:szCs w:val="21"/>
          <w:highlight w:val="none"/>
        </w:rPr>
        <w:t>加盖投标人公章的产品彩页</w:t>
      </w:r>
      <w:r>
        <w:rPr>
          <w:rFonts w:hint="eastAsia" w:ascii="宋体" w:hAnsi="宋体" w:cs="Arial"/>
          <w:b/>
          <w:bCs/>
          <w:color w:val="auto"/>
          <w:szCs w:val="21"/>
          <w:highlight w:val="none"/>
          <w:lang w:val="en-US" w:eastAsia="zh-CN"/>
        </w:rPr>
        <w:t>复印件</w:t>
      </w:r>
      <w:r>
        <w:rPr>
          <w:rFonts w:hint="eastAsia" w:ascii="宋体" w:hAnsi="宋体" w:cs="Arial"/>
          <w:b/>
          <w:bCs/>
          <w:color w:val="auto"/>
          <w:szCs w:val="21"/>
          <w:highlight w:val="none"/>
        </w:rPr>
        <w:t>；</w:t>
      </w:r>
      <w:r>
        <w:rPr>
          <w:rFonts w:hint="eastAsia" w:ascii="宋体" w:hAnsi="宋体" w:cs="宋体"/>
          <w:b/>
          <w:bCs/>
          <w:color w:val="auto"/>
          <w:szCs w:val="21"/>
          <w:highlight w:val="none"/>
        </w:rPr>
        <w:t>②</w:t>
      </w:r>
      <w:r>
        <w:rPr>
          <w:rFonts w:hint="eastAsia" w:ascii="宋体" w:hAnsi="宋体" w:cs="Arial"/>
          <w:b/>
          <w:bCs/>
          <w:color w:val="auto"/>
          <w:szCs w:val="21"/>
          <w:highlight w:val="none"/>
        </w:rPr>
        <w:t>加盖投标人公章的所投标品牌的国内或国外官方网站体现该投标型号对应的规格参数的网页截图复印件。</w:t>
      </w:r>
    </w:p>
    <w:p w14:paraId="578BA698">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7、投标人应在投标文件中提供书面承诺：保证投标产品彩页所注明的技术评分条款中相关规格参数与所投标品牌的国内或国外官方网站的相关信息一致（任一评分条款中的规格参数未体现的情形视为不一致）且在本项目投标截止时间起在所投标品牌的国内或国外官方网站可查询到相关投标型号及规格参数信息。</w:t>
      </w:r>
    </w:p>
    <w:p w14:paraId="2A327911">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8、投标人应在投标文件中提供书面承诺：投标截止时间起90个日历日内若中标供应商出现投标型号及相关规格参数与所投标品牌的国内或国外官方网站体现该投标型号对应规格参数的网页信息不一致的视为虚假应标。若本项目采购合同已签订的，在合同签订后的60个日历日内，采购单位有权单方面解除合同，没收全部供货及售后服务保证金并且有权与第二位中标候选供应商签订合同，同时接受采购单位拒绝中标供应商参与下一年度大宗针式打印机项目的投标。</w:t>
      </w:r>
    </w:p>
    <w:p w14:paraId="05E47CB1">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9、投标人应在投标文件中提供书面承诺：保证所提供加盖投标人公章的产品彩页及所投标品牌的国内或国外官方网站体现该投标型号对应的规格参数的网页截图复印件与所投标品牌市面流通的同一品牌同一型号产品设备（该产品设备可由采购单位从市场上自行购买）内附说明书或光盘信息所体现的规格参数一致，若出现不一致的情形视为虚假应标。若本项目采购合同已签订的，在合同签订后的60个日历日内，采购单位有权单方面解除合同，没收全部供货及售后服务保证金并且有权与第二位中标候选供应商签订合同，同时接受采购单位拒绝中标供应商参与下一年度大宗针式打印机项目的投标。</w:t>
      </w:r>
    </w:p>
    <w:p w14:paraId="7E73A235">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*10、投标人若在投标文件中提供相关投标产品检验（检测）报告的，需提供：</w:t>
      </w:r>
      <w:r>
        <w:rPr>
          <w:rFonts w:hint="eastAsia" w:ascii="宋体" w:hAnsi="宋体" w:cs="宋体"/>
          <w:b/>
          <w:bCs/>
          <w:color w:val="auto"/>
          <w:szCs w:val="21"/>
          <w:highlight w:val="none"/>
        </w:rPr>
        <w:t>①</w:t>
      </w:r>
      <w:r>
        <w:rPr>
          <w:rFonts w:hint="eastAsia" w:ascii="宋体" w:hAnsi="宋体" w:cs="Arial"/>
          <w:b/>
          <w:bCs/>
          <w:color w:val="auto"/>
          <w:szCs w:val="21"/>
          <w:highlight w:val="none"/>
        </w:rPr>
        <w:t>加盖投标人公章的检验（检测）报告复印件；</w:t>
      </w:r>
      <w:r>
        <w:rPr>
          <w:rFonts w:hint="eastAsia" w:ascii="宋体" w:hAnsi="宋体" w:cs="宋体"/>
          <w:b/>
          <w:bCs/>
          <w:color w:val="auto"/>
          <w:szCs w:val="21"/>
          <w:highlight w:val="none"/>
        </w:rPr>
        <w:t>②</w:t>
      </w:r>
      <w:r>
        <w:rPr>
          <w:rFonts w:hint="eastAsia" w:ascii="宋体" w:hAnsi="宋体" w:cs="Arial"/>
          <w:b/>
          <w:bCs/>
          <w:color w:val="auto"/>
          <w:szCs w:val="21"/>
          <w:highlight w:val="none"/>
        </w:rPr>
        <w:t>加盖投标人公章的出具该检验（检测）报告机构在</w:t>
      </w:r>
      <w:r>
        <w:rPr>
          <w:rFonts w:ascii="宋体" w:hAnsi="宋体" w:cs="Arial"/>
          <w:b/>
          <w:bCs/>
          <w:color w:val="auto"/>
          <w:szCs w:val="21"/>
          <w:highlight w:val="none"/>
        </w:rPr>
        <w:t>“</w:t>
      </w:r>
      <w:r>
        <w:rPr>
          <w:rFonts w:hint="eastAsia" w:ascii="宋体" w:hAnsi="宋体" w:cs="Arial"/>
          <w:b/>
          <w:bCs/>
          <w:color w:val="auto"/>
          <w:szCs w:val="21"/>
          <w:highlight w:val="none"/>
        </w:rPr>
        <w:t>中国国家认证认可监督管理委员会</w:t>
      </w:r>
      <w:r>
        <w:rPr>
          <w:rFonts w:ascii="宋体" w:hAnsi="宋体" w:cs="Arial"/>
          <w:b/>
          <w:bCs/>
          <w:color w:val="auto"/>
          <w:szCs w:val="21"/>
          <w:highlight w:val="none"/>
        </w:rPr>
        <w:t>”</w:t>
      </w:r>
      <w:r>
        <w:rPr>
          <w:rFonts w:hint="eastAsia" w:ascii="宋体" w:hAnsi="宋体" w:cs="Arial"/>
          <w:b/>
          <w:bCs/>
          <w:color w:val="auto"/>
          <w:szCs w:val="21"/>
          <w:highlight w:val="none"/>
        </w:rPr>
        <w:t>获准资质认定的网页截图复印件。</w:t>
      </w:r>
    </w:p>
    <w:p w14:paraId="1CDB5E1B">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*11、投标人若在投标文件中提供相关投标产品检验（检测）报告的，投标人应在投标文件中提供书面承诺：</w:t>
      </w:r>
    </w:p>
    <w:p w14:paraId="6ED26D09">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（1）相关技术参数以检验（检测）报告中的</w:t>
      </w:r>
      <w:r>
        <w:rPr>
          <w:rFonts w:ascii="宋体" w:hAnsi="宋体" w:cs="Arial"/>
          <w:b/>
          <w:bCs/>
          <w:color w:val="auto"/>
          <w:szCs w:val="21"/>
          <w:highlight w:val="none"/>
        </w:rPr>
        <w:t>“</w:t>
      </w:r>
      <w:r>
        <w:rPr>
          <w:rFonts w:hint="eastAsia" w:ascii="宋体" w:hAnsi="宋体" w:cs="Arial"/>
          <w:b/>
          <w:bCs/>
          <w:color w:val="auto"/>
          <w:szCs w:val="21"/>
          <w:highlight w:val="none"/>
        </w:rPr>
        <w:t>技术要求</w:t>
      </w:r>
      <w:r>
        <w:rPr>
          <w:rFonts w:ascii="宋体" w:hAnsi="宋体" w:cs="Arial"/>
          <w:b/>
          <w:bCs/>
          <w:color w:val="auto"/>
          <w:szCs w:val="21"/>
          <w:highlight w:val="none"/>
        </w:rPr>
        <w:t>”</w:t>
      </w:r>
      <w:r>
        <w:rPr>
          <w:rFonts w:hint="eastAsia" w:ascii="宋体" w:hAnsi="宋体" w:cs="Arial"/>
          <w:b/>
          <w:bCs/>
          <w:color w:val="auto"/>
          <w:szCs w:val="21"/>
          <w:highlight w:val="none"/>
        </w:rPr>
        <w:t>为准且满足测试结果判定为符合要求的作为本项目的评价依据，测试结果的具体指标不作为本采购项目的评价依据。</w:t>
      </w:r>
    </w:p>
    <w:p w14:paraId="5CFEA2F2">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（2）检验（检测）报告复印件上体现的检验（检测）机构名称及资质证书号必须与出具该检验（检测）报告机构在</w:t>
      </w:r>
      <w:r>
        <w:rPr>
          <w:rFonts w:ascii="宋体" w:hAnsi="宋体" w:cs="Arial"/>
          <w:b/>
          <w:bCs/>
          <w:color w:val="auto"/>
          <w:szCs w:val="21"/>
          <w:highlight w:val="none"/>
        </w:rPr>
        <w:t>“</w:t>
      </w:r>
      <w:r>
        <w:rPr>
          <w:rFonts w:hint="eastAsia" w:ascii="宋体" w:hAnsi="宋体" w:cs="Arial"/>
          <w:b/>
          <w:bCs/>
          <w:color w:val="auto"/>
          <w:szCs w:val="21"/>
          <w:highlight w:val="none"/>
        </w:rPr>
        <w:t>中国国家认证认可监督管理委员会</w:t>
      </w:r>
      <w:r>
        <w:rPr>
          <w:rFonts w:ascii="宋体" w:hAnsi="宋体" w:cs="Arial"/>
          <w:b/>
          <w:bCs/>
          <w:color w:val="auto"/>
          <w:szCs w:val="21"/>
          <w:highlight w:val="none"/>
        </w:rPr>
        <w:t>”</w:t>
      </w:r>
      <w:r>
        <w:rPr>
          <w:rFonts w:hint="eastAsia" w:ascii="宋体" w:hAnsi="宋体" w:cs="Arial"/>
          <w:b/>
          <w:bCs/>
          <w:color w:val="auto"/>
          <w:szCs w:val="21"/>
          <w:highlight w:val="none"/>
        </w:rPr>
        <w:t>获准资质认定的网页截图复印件的检验（检测）机构名称及资质证书号信息一致[检验（检测）机构名称及资质证书号任何一项未体现的情形视为不一致，不一致的视为无效投标。</w:t>
      </w:r>
    </w:p>
    <w:p w14:paraId="6117DD07">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（3）检验（检测）报告的委托或送检单位必须为所投标品牌的制造商或制造商的关联企业。</w:t>
      </w:r>
    </w:p>
    <w:p w14:paraId="51F7BF4F">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（4）检验（检测）机构必须属</w:t>
      </w:r>
      <w:r>
        <w:rPr>
          <w:rFonts w:ascii="宋体" w:hAnsi="宋体" w:cs="Arial"/>
          <w:b/>
          <w:bCs/>
          <w:color w:val="auto"/>
          <w:szCs w:val="21"/>
          <w:highlight w:val="none"/>
        </w:rPr>
        <w:t>“</w:t>
      </w:r>
      <w:r>
        <w:rPr>
          <w:rFonts w:hint="eastAsia" w:ascii="宋体" w:hAnsi="宋体" w:cs="Arial"/>
          <w:b/>
          <w:bCs/>
          <w:color w:val="auto"/>
          <w:szCs w:val="21"/>
          <w:highlight w:val="none"/>
        </w:rPr>
        <w:t>中国国家认证认可监督管理委员会</w:t>
      </w:r>
      <w:r>
        <w:rPr>
          <w:rFonts w:ascii="宋体" w:hAnsi="宋体" w:cs="Arial"/>
          <w:b/>
          <w:bCs/>
          <w:color w:val="auto"/>
          <w:szCs w:val="21"/>
          <w:highlight w:val="none"/>
        </w:rPr>
        <w:t>”</w:t>
      </w:r>
      <w:r>
        <w:rPr>
          <w:rFonts w:hint="eastAsia" w:ascii="宋体" w:hAnsi="宋体" w:cs="Arial"/>
          <w:b/>
          <w:bCs/>
          <w:color w:val="auto"/>
          <w:szCs w:val="21"/>
          <w:highlight w:val="none"/>
        </w:rPr>
        <w:t>获准资质认定机构范围内且检验（检测）机构的资质证书号及资质状态的生效日期必须在本项目投标截止时间前。</w:t>
      </w:r>
    </w:p>
    <w:p w14:paraId="20942BDB">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（5）在本项目投标截止时间起在</w:t>
      </w:r>
      <w:r>
        <w:rPr>
          <w:rFonts w:ascii="宋体" w:hAnsi="宋体" w:cs="Arial"/>
          <w:b/>
          <w:bCs/>
          <w:color w:val="auto"/>
          <w:szCs w:val="21"/>
          <w:highlight w:val="none"/>
        </w:rPr>
        <w:t>“</w:t>
      </w:r>
      <w:r>
        <w:rPr>
          <w:rFonts w:hint="eastAsia" w:ascii="宋体" w:hAnsi="宋体" w:cs="Arial"/>
          <w:b/>
          <w:bCs/>
          <w:color w:val="auto"/>
          <w:szCs w:val="21"/>
          <w:highlight w:val="none"/>
        </w:rPr>
        <w:t>中国国家认证认可监督管理委员会</w:t>
      </w:r>
      <w:r>
        <w:rPr>
          <w:rFonts w:ascii="宋体" w:hAnsi="宋体" w:cs="Arial"/>
          <w:b/>
          <w:bCs/>
          <w:color w:val="auto"/>
          <w:szCs w:val="21"/>
          <w:highlight w:val="none"/>
        </w:rPr>
        <w:t>”</w:t>
      </w:r>
      <w:r>
        <w:rPr>
          <w:rFonts w:hint="eastAsia" w:ascii="宋体" w:hAnsi="宋体" w:cs="Arial"/>
          <w:b/>
          <w:bCs/>
          <w:color w:val="auto"/>
          <w:szCs w:val="21"/>
          <w:highlight w:val="none"/>
        </w:rPr>
        <w:t>网站（http://www.cnca.gov.cn/）可查询到相关检验（检测）机构的资质证书号及资质状态。</w:t>
      </w:r>
    </w:p>
    <w:p w14:paraId="7EAC7514">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12、投标人应在投标文件中提供书面承诺：投标人若在投标文件中提供相关检验（检测）报告的，投标截止时间起90个日历日内若中标供应商出现投标型号的检验（检测）报告所对应的检验（检测）机构的资质证书号及资质状态与</w:t>
      </w:r>
      <w:r>
        <w:rPr>
          <w:rFonts w:ascii="宋体" w:hAnsi="宋体" w:cs="Arial"/>
          <w:b/>
          <w:bCs/>
          <w:color w:val="auto"/>
          <w:szCs w:val="21"/>
          <w:highlight w:val="none"/>
        </w:rPr>
        <w:t>“</w:t>
      </w:r>
      <w:r>
        <w:rPr>
          <w:rFonts w:hint="eastAsia" w:ascii="宋体" w:hAnsi="宋体" w:cs="Arial"/>
          <w:b/>
          <w:bCs/>
          <w:color w:val="auto"/>
          <w:szCs w:val="21"/>
          <w:highlight w:val="none"/>
        </w:rPr>
        <w:t>中国国家认证认可监督管理委员会</w:t>
      </w:r>
      <w:r>
        <w:rPr>
          <w:rFonts w:ascii="宋体" w:hAnsi="宋体" w:cs="Arial"/>
          <w:b/>
          <w:bCs/>
          <w:color w:val="auto"/>
          <w:szCs w:val="21"/>
          <w:highlight w:val="none"/>
        </w:rPr>
        <w:t>”</w:t>
      </w:r>
      <w:r>
        <w:rPr>
          <w:rFonts w:hint="eastAsia" w:ascii="宋体" w:hAnsi="宋体" w:cs="Arial"/>
          <w:b/>
          <w:bCs/>
          <w:color w:val="auto"/>
          <w:szCs w:val="21"/>
          <w:highlight w:val="none"/>
        </w:rPr>
        <w:t>网站（http://www.cnca.gov.cn/）体现该检验（检测）机构对应资质证书号及资质状态的网页信息不一致的视为虚假应标。若本项目采购合同已签订的，在合同签订后的60个日历日内，采购单位有权单方面解除合同，没收全部供货及售后服务保证金并且有权与第二位中标候选供应商签订合同，同时接受采购单位拒绝中标供应商参与下一年度大宗针式打印机项目的投标。</w:t>
      </w:r>
      <w:r>
        <w:rPr>
          <w:rFonts w:hint="eastAsia" w:ascii="宋体" w:hAnsi="宋体" w:cs="Arial"/>
          <w:b/>
          <w:bCs/>
          <w:color w:val="auto"/>
          <w:szCs w:val="21"/>
          <w:highlight w:val="none"/>
          <w:lang w:val="en-US" w:eastAsia="zh-CN"/>
        </w:rPr>
        <w:t xml:space="preserve">    </w:t>
      </w:r>
      <w:r>
        <w:rPr>
          <w:rFonts w:hint="eastAsia" w:ascii="宋体" w:hAnsi="宋体" w:cs="Arial"/>
          <w:b/>
          <w:bCs/>
          <w:color w:val="auto"/>
          <w:szCs w:val="21"/>
          <w:highlight w:val="none"/>
        </w:rPr>
        <w:t>*13、投标人应在投标文件中提供书面承诺：</w:t>
      </w:r>
    </w:p>
    <w:p w14:paraId="296DF1D1">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rPr>
        <w:t>针对本项目招标文件中第二章中的</w:t>
      </w:r>
      <w:r>
        <w:rPr>
          <w:rFonts w:ascii="宋体" w:hAnsi="宋体" w:cs="Arial"/>
          <w:b/>
          <w:bCs/>
          <w:color w:val="auto"/>
          <w:szCs w:val="21"/>
          <w:highlight w:val="none"/>
        </w:rPr>
        <w:t>“</w:t>
      </w:r>
      <w:r>
        <w:rPr>
          <w:rFonts w:hint="eastAsia" w:ascii="宋体" w:hAnsi="宋体" w:cs="Arial"/>
          <w:b/>
          <w:bCs/>
          <w:color w:val="auto"/>
          <w:szCs w:val="21"/>
          <w:highlight w:val="none"/>
        </w:rPr>
        <w:t>技术评分</w:t>
      </w:r>
      <w:r>
        <w:rPr>
          <w:rFonts w:ascii="宋体" w:hAnsi="宋体" w:cs="Arial"/>
          <w:b/>
          <w:bCs/>
          <w:color w:val="auto"/>
          <w:szCs w:val="21"/>
          <w:highlight w:val="none"/>
        </w:rPr>
        <w:t>”</w:t>
      </w:r>
      <w:r>
        <w:rPr>
          <w:rFonts w:hint="eastAsia" w:ascii="宋体" w:hAnsi="宋体" w:cs="Arial"/>
          <w:b/>
          <w:bCs/>
          <w:color w:val="auto"/>
          <w:szCs w:val="21"/>
          <w:highlight w:val="none"/>
        </w:rPr>
        <w:t>条款及第三章中</w:t>
      </w:r>
      <w:r>
        <w:rPr>
          <w:rFonts w:hint="eastAsia" w:ascii="宋体" w:hAnsi="宋体" w:cs="Arial"/>
          <w:b/>
          <w:bCs/>
          <w:color w:val="auto"/>
          <w:szCs w:val="21"/>
          <w:highlight w:val="none"/>
          <w:lang w:eastAsia="zh-CN"/>
        </w:rPr>
        <w:t>“</w:t>
      </w:r>
      <w:r>
        <w:rPr>
          <w:rFonts w:hint="eastAsia" w:ascii="宋体" w:hAnsi="宋体" w:cs="Arial"/>
          <w:b/>
          <w:bCs/>
          <w:color w:val="auto"/>
          <w:szCs w:val="21"/>
          <w:highlight w:val="none"/>
          <w:lang w:val="en-US" w:eastAsia="zh-CN"/>
        </w:rPr>
        <w:t>主要</w:t>
      </w:r>
      <w:r>
        <w:rPr>
          <w:rFonts w:hint="eastAsia" w:ascii="宋体" w:hAnsi="宋体" w:cs="Arial"/>
          <w:b/>
          <w:bCs/>
          <w:color w:val="auto"/>
          <w:szCs w:val="21"/>
          <w:highlight w:val="none"/>
        </w:rPr>
        <w:t>技术参数</w:t>
      </w:r>
      <w:r>
        <w:rPr>
          <w:rFonts w:hint="eastAsia" w:ascii="宋体" w:hAnsi="宋体" w:cs="Arial"/>
          <w:b/>
          <w:bCs/>
          <w:color w:val="auto"/>
          <w:szCs w:val="21"/>
          <w:highlight w:val="none"/>
          <w:lang w:eastAsia="zh-CN"/>
        </w:rPr>
        <w:t>”</w:t>
      </w:r>
      <w:r>
        <w:rPr>
          <w:rFonts w:hint="eastAsia" w:ascii="宋体" w:hAnsi="宋体" w:cs="Arial"/>
          <w:b/>
          <w:bCs/>
          <w:color w:val="auto"/>
          <w:szCs w:val="21"/>
          <w:highlight w:val="none"/>
        </w:rPr>
        <w:t>部分，根据投标人所提供的：</w:t>
      </w:r>
      <w:r>
        <w:rPr>
          <w:rFonts w:hint="eastAsia" w:ascii="宋体" w:hAnsi="宋体" w:cs="宋体"/>
          <w:b/>
          <w:bCs/>
          <w:color w:val="auto"/>
          <w:szCs w:val="21"/>
          <w:highlight w:val="none"/>
        </w:rPr>
        <w:t>①</w:t>
      </w:r>
      <w:r>
        <w:rPr>
          <w:rFonts w:hint="eastAsia" w:ascii="宋体" w:hAnsi="宋体" w:cs="Arial"/>
          <w:b/>
          <w:bCs/>
          <w:color w:val="auto"/>
          <w:szCs w:val="21"/>
          <w:highlight w:val="none"/>
        </w:rPr>
        <w:t>产品彩页；</w:t>
      </w:r>
      <w:r>
        <w:rPr>
          <w:rFonts w:hint="eastAsia" w:ascii="宋体" w:hAnsi="宋体" w:cs="宋体"/>
          <w:b/>
          <w:bCs/>
          <w:color w:val="auto"/>
          <w:szCs w:val="21"/>
          <w:highlight w:val="none"/>
        </w:rPr>
        <w:t>②</w:t>
      </w:r>
      <w:r>
        <w:rPr>
          <w:rFonts w:hint="eastAsia" w:ascii="宋体" w:hAnsi="宋体" w:cs="Arial"/>
          <w:b/>
          <w:bCs/>
          <w:color w:val="auto"/>
          <w:szCs w:val="21"/>
          <w:highlight w:val="none"/>
        </w:rPr>
        <w:t>所投标品牌的国内或国外官方网站体现该投标型号对应的规格参数的网页截图复印件；</w:t>
      </w:r>
      <w:r>
        <w:rPr>
          <w:rFonts w:hint="eastAsia" w:ascii="宋体" w:hAnsi="宋体" w:cs="宋体"/>
          <w:b/>
          <w:bCs/>
          <w:color w:val="auto"/>
          <w:szCs w:val="21"/>
          <w:highlight w:val="none"/>
        </w:rPr>
        <w:t>③</w:t>
      </w:r>
      <w:r>
        <w:rPr>
          <w:rFonts w:hint="eastAsia" w:ascii="宋体" w:hAnsi="宋体" w:cs="Arial"/>
          <w:b/>
          <w:bCs/>
          <w:color w:val="auto"/>
          <w:szCs w:val="21"/>
          <w:highlight w:val="none"/>
        </w:rPr>
        <w:t>投标产品的检验（检测）报告；</w:t>
      </w:r>
      <w:r>
        <w:rPr>
          <w:rFonts w:hint="eastAsia" w:ascii="宋体" w:hAnsi="宋体" w:cs="宋体"/>
          <w:b/>
          <w:bCs/>
          <w:color w:val="auto"/>
          <w:szCs w:val="21"/>
          <w:highlight w:val="none"/>
        </w:rPr>
        <w:t>④</w:t>
      </w:r>
      <w:r>
        <w:rPr>
          <w:rFonts w:hint="eastAsia" w:ascii="宋体" w:hAnsi="宋体" w:cs="Arial"/>
          <w:b/>
          <w:bCs/>
          <w:color w:val="auto"/>
          <w:szCs w:val="21"/>
          <w:highlight w:val="none"/>
        </w:rPr>
        <w:t>投标品牌市面流通的同一品牌同一型号产品设备（该产品设备可由采购单位从市场上自行购买）内附说明书或光盘信息；</w:t>
      </w:r>
      <w:r>
        <w:rPr>
          <w:rFonts w:hint="eastAsia" w:ascii="宋体" w:hAnsi="宋体" w:cs="宋体"/>
          <w:b/>
          <w:bCs/>
          <w:color w:val="auto"/>
          <w:szCs w:val="21"/>
          <w:highlight w:val="none"/>
        </w:rPr>
        <w:t>⑤</w:t>
      </w:r>
      <w:r>
        <w:rPr>
          <w:rFonts w:hint="eastAsia" w:ascii="宋体" w:hAnsi="宋体" w:cs="Arial"/>
          <w:b/>
          <w:bCs/>
          <w:color w:val="auto"/>
          <w:szCs w:val="21"/>
          <w:highlight w:val="none"/>
        </w:rPr>
        <w:t>我司针对本项目的投标响应文件。若上述材料或文件出现技术参数不一致的，投标人接受以如下参数选择作为评价（评分）依据：</w:t>
      </w:r>
    </w:p>
    <w:p w14:paraId="022B42EB">
      <w:pPr>
        <w:shd w:val="clear" w:color="auto" w:fill="FFFFFF"/>
        <w:spacing w:line="360" w:lineRule="auto"/>
        <w:ind w:firstLine="422" w:firstLineChars="200"/>
        <w:rPr>
          <w:rFonts w:hint="eastAsia" w:ascii="宋体" w:hAnsi="宋体" w:cs="Arial"/>
          <w:b/>
          <w:bCs/>
          <w:color w:val="auto"/>
          <w:szCs w:val="21"/>
          <w:highlight w:val="none"/>
        </w:rPr>
      </w:pPr>
      <w:r>
        <w:rPr>
          <w:rFonts w:hint="eastAsia" w:ascii="宋体" w:hAnsi="宋体" w:cs="Arial"/>
          <w:b/>
          <w:bCs/>
          <w:color w:val="auto"/>
          <w:szCs w:val="21"/>
          <w:highlight w:val="none"/>
          <w:lang w:bidi="ar"/>
        </w:rPr>
        <w:t>针数：取最小值</w:t>
      </w:r>
    </w:p>
    <w:p w14:paraId="75DE935D">
      <w:pPr>
        <w:shd w:val="clear" w:color="auto" w:fill="FFFFFF"/>
        <w:spacing w:line="360" w:lineRule="auto"/>
        <w:ind w:firstLine="422" w:firstLineChars="200"/>
        <w:rPr>
          <w:rFonts w:hint="eastAsia" w:ascii="宋体" w:hAnsi="宋体" w:cs="Arial"/>
          <w:b/>
          <w:bCs/>
          <w:color w:val="auto"/>
          <w:szCs w:val="21"/>
          <w:highlight w:val="none"/>
          <w:lang w:bidi="ar"/>
        </w:rPr>
      </w:pPr>
      <w:r>
        <w:rPr>
          <w:rFonts w:hint="eastAsia" w:ascii="宋体" w:hAnsi="宋体" w:cs="Arial"/>
          <w:b/>
          <w:bCs/>
          <w:color w:val="auto"/>
          <w:szCs w:val="21"/>
          <w:highlight w:val="none"/>
          <w:lang w:bidi="ar"/>
        </w:rPr>
        <w:t>打印速度：取最小值</w:t>
      </w:r>
    </w:p>
    <w:p w14:paraId="2E3E0291">
      <w:pPr>
        <w:shd w:val="clear" w:color="auto" w:fill="FFFFFF"/>
        <w:spacing w:line="360" w:lineRule="auto"/>
        <w:ind w:firstLine="422" w:firstLineChars="200"/>
        <w:rPr>
          <w:rFonts w:hint="eastAsia" w:ascii="宋体" w:hAnsi="宋体" w:cs="Arial"/>
          <w:b/>
          <w:bCs/>
          <w:color w:val="auto"/>
          <w:szCs w:val="21"/>
          <w:highlight w:val="none"/>
          <w:lang w:bidi="ar"/>
        </w:rPr>
      </w:pPr>
      <w:r>
        <w:rPr>
          <w:rFonts w:hint="eastAsia" w:ascii="宋体" w:hAnsi="宋体" w:cs="Arial"/>
          <w:b/>
          <w:bCs/>
          <w:color w:val="auto"/>
          <w:szCs w:val="21"/>
          <w:highlight w:val="none"/>
          <w:lang w:bidi="ar"/>
        </w:rPr>
        <w:t>打印厚度: 取最小值</w:t>
      </w:r>
    </w:p>
    <w:p w14:paraId="635E3C3B">
      <w:pPr>
        <w:shd w:val="clear" w:color="auto" w:fill="FFFFFF"/>
        <w:spacing w:line="360" w:lineRule="auto"/>
        <w:ind w:firstLine="422" w:firstLineChars="200"/>
        <w:rPr>
          <w:rFonts w:hint="eastAsia" w:ascii="宋体" w:hAnsi="宋体" w:cs="Arial"/>
          <w:b/>
          <w:bCs/>
          <w:color w:val="auto"/>
          <w:szCs w:val="21"/>
          <w:highlight w:val="none"/>
          <w:lang w:bidi="ar"/>
        </w:rPr>
      </w:pPr>
      <w:r>
        <w:rPr>
          <w:rFonts w:hint="eastAsia" w:ascii="宋体" w:hAnsi="宋体" w:cs="Arial"/>
          <w:b/>
          <w:bCs/>
          <w:color w:val="auto"/>
          <w:szCs w:val="21"/>
          <w:highlight w:val="none"/>
          <w:lang w:bidi="ar"/>
        </w:rPr>
        <w:t>复写能力：取最小值</w:t>
      </w:r>
    </w:p>
    <w:p w14:paraId="09EBC300">
      <w:pPr>
        <w:shd w:val="clear" w:color="auto" w:fill="FFFFFF"/>
        <w:spacing w:line="360" w:lineRule="auto"/>
        <w:ind w:firstLine="422" w:firstLineChars="200"/>
        <w:rPr>
          <w:rFonts w:hint="eastAsia" w:ascii="宋体" w:hAnsi="宋体" w:cs="Arial"/>
          <w:b/>
          <w:bCs/>
          <w:color w:val="auto"/>
          <w:szCs w:val="21"/>
          <w:highlight w:val="none"/>
          <w:lang w:bidi="ar"/>
        </w:rPr>
      </w:pPr>
      <w:r>
        <w:rPr>
          <w:rFonts w:hint="eastAsia" w:ascii="宋体" w:hAnsi="宋体" w:cs="Arial"/>
          <w:b/>
          <w:bCs/>
          <w:color w:val="auto"/>
          <w:szCs w:val="21"/>
          <w:highlight w:val="none"/>
          <w:lang w:bidi="ar"/>
        </w:rPr>
        <w:t>中文超高速打印速度：取最小值</w:t>
      </w:r>
    </w:p>
    <w:p w14:paraId="57D8AC2B">
      <w:pPr>
        <w:shd w:val="clear" w:color="auto" w:fill="FFFFFF"/>
        <w:spacing w:line="360" w:lineRule="auto"/>
        <w:ind w:firstLine="422" w:firstLineChars="200"/>
        <w:rPr>
          <w:rFonts w:hint="eastAsia" w:ascii="宋体" w:hAnsi="宋体" w:cs="Arial"/>
          <w:b/>
          <w:bCs/>
          <w:color w:val="auto"/>
          <w:szCs w:val="21"/>
          <w:highlight w:val="none"/>
          <w:lang w:bidi="ar"/>
        </w:rPr>
      </w:pPr>
      <w:r>
        <w:rPr>
          <w:rFonts w:hint="eastAsia" w:ascii="宋体" w:hAnsi="宋体" w:cs="Arial"/>
          <w:b/>
          <w:bCs/>
          <w:color w:val="auto"/>
          <w:szCs w:val="21"/>
          <w:highlight w:val="none"/>
          <w:lang w:bidi="ar"/>
        </w:rPr>
        <w:t>*14、针对本</w:t>
      </w:r>
      <w:r>
        <w:rPr>
          <w:rFonts w:hint="eastAsia" w:ascii="宋体" w:hAnsi="宋体" w:cs="Arial"/>
          <w:b/>
          <w:bCs/>
          <w:color w:val="auto"/>
          <w:szCs w:val="21"/>
          <w:highlight w:val="none"/>
          <w:lang w:val="en-US" w:eastAsia="zh-CN" w:bidi="ar"/>
        </w:rPr>
        <w:t>项</w:t>
      </w:r>
      <w:r>
        <w:rPr>
          <w:rFonts w:hint="eastAsia" w:ascii="宋体" w:hAnsi="宋体" w:cs="Arial"/>
          <w:b/>
          <w:bCs/>
          <w:color w:val="auto"/>
          <w:szCs w:val="21"/>
          <w:highlight w:val="none"/>
          <w:lang w:bidi="ar"/>
        </w:rPr>
        <w:t>中的第</w:t>
      </w:r>
      <w:r>
        <w:rPr>
          <w:rFonts w:ascii="宋体" w:hAnsi="宋体" w:cs="Arial"/>
          <w:b/>
          <w:bCs/>
          <w:color w:val="auto"/>
          <w:szCs w:val="21"/>
          <w:highlight w:val="none"/>
          <w:lang w:bidi="ar"/>
        </w:rPr>
        <w:t>“</w:t>
      </w:r>
      <w:r>
        <w:rPr>
          <w:rFonts w:hint="eastAsia" w:ascii="宋体" w:hAnsi="宋体" w:cs="Arial"/>
          <w:b/>
          <w:bCs/>
          <w:color w:val="auto"/>
          <w:szCs w:val="21"/>
          <w:highlight w:val="none"/>
          <w:lang w:bidi="ar"/>
        </w:rPr>
        <w:t>*6</w:t>
      </w:r>
      <w:r>
        <w:rPr>
          <w:rFonts w:ascii="宋体" w:hAnsi="宋体" w:cs="Arial"/>
          <w:b/>
          <w:bCs/>
          <w:color w:val="auto"/>
          <w:szCs w:val="21"/>
          <w:highlight w:val="none"/>
          <w:lang w:bidi="ar"/>
        </w:rPr>
        <w:t>”</w:t>
      </w:r>
      <w:r>
        <w:rPr>
          <w:rFonts w:hint="eastAsia" w:ascii="宋体" w:hAnsi="宋体" w:cs="Arial"/>
          <w:b/>
          <w:bCs/>
          <w:color w:val="auto"/>
          <w:szCs w:val="21"/>
          <w:highlight w:val="none"/>
          <w:lang w:bidi="ar"/>
        </w:rPr>
        <w:t>至</w:t>
      </w:r>
      <w:r>
        <w:rPr>
          <w:rFonts w:ascii="宋体" w:hAnsi="宋体" w:cs="Arial"/>
          <w:b/>
          <w:bCs/>
          <w:color w:val="auto"/>
          <w:szCs w:val="21"/>
          <w:highlight w:val="none"/>
          <w:lang w:bidi="ar"/>
        </w:rPr>
        <w:t>”“</w:t>
      </w:r>
      <w:r>
        <w:rPr>
          <w:rFonts w:hint="eastAsia" w:ascii="宋体" w:hAnsi="宋体" w:cs="Arial"/>
          <w:b/>
          <w:bCs/>
          <w:color w:val="auto"/>
          <w:szCs w:val="21"/>
          <w:highlight w:val="none"/>
          <w:lang w:bidi="ar"/>
        </w:rPr>
        <w:t>*13</w:t>
      </w:r>
      <w:r>
        <w:rPr>
          <w:rFonts w:ascii="宋体" w:hAnsi="宋体" w:cs="Arial"/>
          <w:b/>
          <w:bCs/>
          <w:color w:val="auto"/>
          <w:szCs w:val="21"/>
          <w:highlight w:val="none"/>
          <w:lang w:bidi="ar"/>
        </w:rPr>
        <w:t>”</w:t>
      </w:r>
      <w:r>
        <w:rPr>
          <w:rFonts w:hint="eastAsia" w:ascii="宋体" w:hAnsi="宋体" w:cs="Arial"/>
          <w:b/>
          <w:bCs/>
          <w:color w:val="auto"/>
          <w:szCs w:val="21"/>
          <w:highlight w:val="none"/>
          <w:lang w:bidi="ar"/>
        </w:rPr>
        <w:t>的要求，投标人应按</w:t>
      </w:r>
      <w:r>
        <w:rPr>
          <w:rFonts w:hint="eastAsia" w:ascii="宋体" w:hAnsi="宋体" w:cs="Arial"/>
          <w:b/>
          <w:bCs/>
          <w:color w:val="auto"/>
          <w:szCs w:val="21"/>
          <w:highlight w:val="none"/>
          <w:lang w:eastAsia="zh-CN" w:bidi="ar"/>
        </w:rPr>
        <w:t>《</w:t>
      </w:r>
      <w:r>
        <w:rPr>
          <w:rFonts w:hint="eastAsia" w:ascii="宋体" w:hAnsi="宋体" w:cs="Arial"/>
          <w:b/>
          <w:bCs/>
          <w:color w:val="auto"/>
          <w:szCs w:val="21"/>
          <w:highlight w:val="none"/>
          <w:lang w:bidi="ar"/>
        </w:rPr>
        <w:t>承诺函</w:t>
      </w:r>
      <w:r>
        <w:rPr>
          <w:rFonts w:hint="eastAsia" w:ascii="宋体" w:hAnsi="宋体" w:cs="Arial"/>
          <w:b/>
          <w:bCs/>
          <w:color w:val="auto"/>
          <w:szCs w:val="21"/>
          <w:highlight w:val="none"/>
          <w:lang w:eastAsia="zh-CN" w:bidi="ar"/>
        </w:rPr>
        <w:t>》</w:t>
      </w:r>
      <w:r>
        <w:rPr>
          <w:rFonts w:hint="eastAsia" w:ascii="宋体" w:hAnsi="宋体" w:cs="Arial"/>
          <w:b/>
          <w:bCs/>
          <w:color w:val="auto"/>
          <w:szCs w:val="21"/>
          <w:highlight w:val="none"/>
          <w:lang w:bidi="ar"/>
        </w:rPr>
        <w:t>格式提交加盖投标人公章的书面承诺函</w:t>
      </w:r>
      <w:r>
        <w:rPr>
          <w:rFonts w:hint="eastAsia" w:ascii="宋体" w:hAnsi="宋体" w:cs="Arial"/>
          <w:b/>
          <w:bCs/>
          <w:color w:val="auto"/>
          <w:szCs w:val="21"/>
          <w:highlight w:val="none"/>
          <w:lang w:eastAsia="zh-CN" w:bidi="ar"/>
        </w:rPr>
        <w:t>（</w:t>
      </w:r>
      <w:r>
        <w:rPr>
          <w:rFonts w:hint="eastAsia" w:ascii="宋体" w:hAnsi="宋体" w:cs="Arial"/>
          <w:b/>
          <w:bCs/>
          <w:color w:val="auto"/>
          <w:szCs w:val="21"/>
          <w:highlight w:val="none"/>
          <w:lang w:val="en-US" w:eastAsia="zh-CN" w:bidi="ar"/>
        </w:rPr>
        <w:t>详见第五章投标文件格式</w:t>
      </w:r>
      <w:r>
        <w:rPr>
          <w:rFonts w:hint="eastAsia" w:ascii="宋体" w:hAnsi="宋体" w:cs="Arial"/>
          <w:b/>
          <w:bCs/>
          <w:color w:val="auto"/>
          <w:szCs w:val="21"/>
          <w:highlight w:val="none"/>
          <w:lang w:eastAsia="zh-CN" w:bidi="ar"/>
        </w:rPr>
        <w:t>）</w:t>
      </w:r>
      <w:r>
        <w:rPr>
          <w:rFonts w:hint="eastAsia" w:ascii="宋体" w:hAnsi="宋体" w:cs="Arial"/>
          <w:b/>
          <w:bCs/>
          <w:color w:val="auto"/>
          <w:szCs w:val="21"/>
          <w:highlight w:val="none"/>
          <w:lang w:bidi="ar"/>
        </w:rPr>
        <w:t>，否则视为无效投标。</w:t>
      </w:r>
    </w:p>
    <w:p w14:paraId="655D21CB">
      <w:pPr>
        <w:spacing w:line="360" w:lineRule="auto"/>
        <w:ind w:firstLine="422" w:firstLineChars="200"/>
        <w:rPr>
          <w:rFonts w:hint="eastAsia" w:ascii="宋体" w:hAnsi="宋体" w:cs="Arial"/>
          <w:b/>
          <w:bCs/>
          <w:color w:val="auto"/>
          <w:szCs w:val="21"/>
          <w:highlight w:val="none"/>
          <w:lang w:bidi="ar"/>
        </w:rPr>
      </w:pPr>
      <w:r>
        <w:rPr>
          <w:rFonts w:hint="eastAsia" w:ascii="宋体" w:hAnsi="宋体" w:cs="Arial"/>
          <w:b/>
          <w:bCs/>
          <w:color w:val="auto"/>
          <w:szCs w:val="21"/>
          <w:highlight w:val="none"/>
          <w:lang w:bidi="ar"/>
        </w:rPr>
        <w:t>*15、本次投标不接受本采购项目在上一期采购中因违背相关承诺（上述《承诺函》中的内容）的投标人。</w:t>
      </w:r>
    </w:p>
    <w:p w14:paraId="1F171FF0">
      <w:pPr>
        <w:spacing w:line="360" w:lineRule="auto"/>
        <w:ind w:firstLine="422" w:firstLineChars="200"/>
        <w:rPr>
          <w:rFonts w:ascii="宋体" w:hAnsi="宋体" w:cs="Arial"/>
          <w:b/>
          <w:bCs/>
          <w:color w:val="auto"/>
          <w:szCs w:val="21"/>
          <w:highlight w:val="none"/>
          <w:lang w:bidi="ar"/>
        </w:rPr>
      </w:pPr>
      <w:r>
        <w:rPr>
          <w:rFonts w:hint="eastAsia" w:ascii="宋体" w:hAnsi="宋体" w:cs="Arial"/>
          <w:b/>
          <w:bCs/>
          <w:color w:val="auto"/>
          <w:szCs w:val="21"/>
          <w:highlight w:val="none"/>
          <w:lang w:bidi="ar"/>
        </w:rPr>
        <w:t>*16、采购周期：2年。</w:t>
      </w:r>
    </w:p>
    <w:p w14:paraId="6FB46BCF">
      <w:pPr>
        <w:spacing w:line="360" w:lineRule="auto"/>
        <w:rPr>
          <w:rFonts w:hint="eastAsia" w:ascii="宋体" w:hAnsi="宋体"/>
          <w:b/>
          <w:color w:val="auto"/>
          <w:sz w:val="28"/>
          <w:szCs w:val="28"/>
          <w:highlight w:val="none"/>
        </w:rPr>
      </w:pPr>
      <w:r>
        <w:rPr>
          <w:rFonts w:hint="eastAsia" w:ascii="宋体" w:hAnsi="宋体"/>
          <w:b/>
          <w:color w:val="auto"/>
          <w:sz w:val="28"/>
          <w:szCs w:val="28"/>
          <w:highlight w:val="none"/>
        </w:rPr>
        <w:t>二、技术商务响应要求</w:t>
      </w:r>
    </w:p>
    <w:p w14:paraId="39A7305A">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1、投标人需提供企业供货、履约能力基本情况的说明。</w:t>
      </w:r>
    </w:p>
    <w:p w14:paraId="355B3123">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2、投标人应具有良好的商业信誉和健全的财务会计制度，具有履行合同所必需的货物和专业技术能力，有依法缴纳税收和社会保障资金的良好记录。</w:t>
      </w:r>
    </w:p>
    <w:p w14:paraId="36B73B9F">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3、投标人所投产品的制造厂商必须通过ISO9001质量体系认证及ISO14000环保体系认证。</w:t>
      </w:r>
    </w:p>
    <w:p w14:paraId="02324BFB">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4、投标产品的制造厂商应在厦门设有常驻的维修保养机构，能保证定期对货物巡检；并在投标文件中详细介绍和提供维修保养机构的相关资料，如响应时间、维修保养机构的具体地点、联系电话、传真等。</w:t>
      </w:r>
    </w:p>
    <w:p w14:paraId="7FDA443E">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5、投标人应在投标文件中提供所投设备详细的配置、技术参数指标, 执行标准，文字资料、彩图或彩页,注明投标货物的产地、品牌、规格型号以及相应的技术、性能等。</w:t>
      </w:r>
    </w:p>
    <w:p w14:paraId="25F4CBAE">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6、投标人应提供能证明其货物制造商实力、货物品质的有关文件资料。</w:t>
      </w:r>
    </w:p>
    <w:p w14:paraId="2B3487C8">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7、投标人应在投标文件中列表对招标文件第二</w:t>
      </w:r>
      <w:r>
        <w:rPr>
          <w:rFonts w:hint="eastAsia" w:ascii="宋体" w:hAnsi="宋体"/>
          <w:color w:val="auto"/>
          <w:szCs w:val="21"/>
          <w:highlight w:val="none"/>
          <w:lang w:val="en-US" w:eastAsia="zh-CN"/>
        </w:rPr>
        <w:t>章</w:t>
      </w:r>
      <w:r>
        <w:rPr>
          <w:rFonts w:hint="eastAsia" w:ascii="宋体" w:hAnsi="宋体"/>
          <w:color w:val="auto"/>
          <w:szCs w:val="21"/>
          <w:highlight w:val="none"/>
        </w:rPr>
        <w:t>中的技术商务评分条款进行一对一的响应说明。</w:t>
      </w:r>
    </w:p>
    <w:p w14:paraId="4616F341">
      <w:pPr>
        <w:adjustRightInd w:val="0"/>
        <w:snapToGrid w:val="0"/>
        <w:spacing w:line="360" w:lineRule="auto"/>
        <w:rPr>
          <w:rFonts w:hint="eastAsia" w:ascii="宋体" w:hAnsi="宋体"/>
          <w:b/>
          <w:color w:val="auto"/>
          <w:sz w:val="28"/>
          <w:szCs w:val="28"/>
          <w:highlight w:val="none"/>
        </w:rPr>
      </w:pPr>
      <w:r>
        <w:rPr>
          <w:rFonts w:hint="eastAsia" w:ascii="宋体" w:hAnsi="宋体"/>
          <w:b/>
          <w:color w:val="auto"/>
          <w:sz w:val="28"/>
          <w:szCs w:val="28"/>
          <w:highlight w:val="none"/>
        </w:rPr>
        <w:t>三、资格证明文件</w:t>
      </w:r>
    </w:p>
    <w:p w14:paraId="458DB091">
      <w:pPr>
        <w:spacing w:line="360" w:lineRule="auto"/>
        <w:ind w:firstLine="422" w:firstLineChars="200"/>
        <w:rPr>
          <w:rFonts w:hint="eastAsia" w:ascii="宋体" w:hAnsi="宋体"/>
          <w:b/>
          <w:color w:val="auto"/>
          <w:szCs w:val="21"/>
          <w:highlight w:val="none"/>
        </w:rPr>
      </w:pPr>
      <w:r>
        <w:rPr>
          <w:rFonts w:hint="eastAsia" w:ascii="宋体" w:hAnsi="宋体"/>
          <w:b/>
          <w:color w:val="auto"/>
          <w:szCs w:val="21"/>
          <w:highlight w:val="none"/>
        </w:rPr>
        <w:t>*1、投标人应提供工商营业执照（副本）（加盖公章）的复印件，提供税务登记证及组织机构代码证复印件。投标人已提供加载有统一社会信用代码营业执照的，视为已提供税务登记证和组织机构代码证。</w:t>
      </w:r>
    </w:p>
    <w:p w14:paraId="639ED985">
      <w:pPr>
        <w:spacing w:line="360" w:lineRule="auto"/>
        <w:ind w:firstLine="422" w:firstLineChars="200"/>
        <w:rPr>
          <w:rFonts w:hint="eastAsia" w:ascii="宋体" w:hAnsi="宋体"/>
          <w:b/>
          <w:color w:val="auto"/>
          <w:szCs w:val="21"/>
          <w:highlight w:val="none"/>
        </w:rPr>
      </w:pPr>
      <w:r>
        <w:rPr>
          <w:rFonts w:hint="eastAsia" w:ascii="宋体" w:hAnsi="宋体"/>
          <w:b/>
          <w:color w:val="auto"/>
          <w:szCs w:val="21"/>
          <w:highlight w:val="none"/>
        </w:rPr>
        <w:t>*2、投标人全权代表若不是单位负责人，应提供单位授权书原件，并提供被授权代表身份证复印件。</w:t>
      </w:r>
    </w:p>
    <w:p w14:paraId="71C5C310">
      <w:pPr>
        <w:adjustRightInd w:val="0"/>
        <w:snapToGrid w:val="0"/>
        <w:spacing w:line="360" w:lineRule="auto"/>
        <w:rPr>
          <w:rFonts w:hint="eastAsia" w:ascii="宋体" w:hAnsi="宋体"/>
          <w:b/>
          <w:color w:val="auto"/>
          <w:sz w:val="28"/>
          <w:szCs w:val="28"/>
          <w:highlight w:val="none"/>
        </w:rPr>
      </w:pPr>
      <w:r>
        <w:rPr>
          <w:rFonts w:hint="eastAsia" w:ascii="宋体" w:hAnsi="宋体"/>
          <w:b/>
          <w:color w:val="auto"/>
          <w:sz w:val="28"/>
          <w:szCs w:val="28"/>
          <w:highlight w:val="none"/>
        </w:rPr>
        <w:t>四、售后服务要求</w:t>
      </w:r>
    </w:p>
    <w:p w14:paraId="5A390FB3">
      <w:pPr>
        <w:spacing w:line="360" w:lineRule="auto"/>
        <w:ind w:firstLine="422" w:firstLineChars="200"/>
        <w:rPr>
          <w:rFonts w:hint="eastAsia" w:ascii="宋体" w:hAnsi="宋体"/>
          <w:b/>
          <w:color w:val="auto"/>
          <w:szCs w:val="21"/>
          <w:highlight w:val="none"/>
        </w:rPr>
      </w:pPr>
      <w:r>
        <w:rPr>
          <w:rFonts w:hint="eastAsia" w:ascii="宋体" w:hAnsi="宋体"/>
          <w:b/>
          <w:color w:val="auto"/>
          <w:szCs w:val="21"/>
          <w:highlight w:val="none"/>
        </w:rPr>
        <w:t>*1、投标人承诺设备自最终验收合格之日起应当提供整机至少一年免费上门保修，同时保证保修年限不低于所投品牌型号的官网标准。</w:t>
      </w:r>
    </w:p>
    <w:p w14:paraId="29F9BD7F">
      <w:pPr>
        <w:spacing w:line="360" w:lineRule="auto"/>
        <w:ind w:firstLine="422" w:firstLineChars="200"/>
        <w:rPr>
          <w:rFonts w:hint="eastAsia" w:ascii="宋体" w:hAnsi="宋体"/>
          <w:b/>
          <w:color w:val="auto"/>
          <w:szCs w:val="21"/>
          <w:highlight w:val="none"/>
        </w:rPr>
      </w:pPr>
      <w:r>
        <w:rPr>
          <w:rFonts w:hint="eastAsia" w:ascii="宋体" w:hAnsi="宋体"/>
          <w:b/>
          <w:color w:val="auto"/>
          <w:szCs w:val="21"/>
          <w:highlight w:val="none"/>
        </w:rPr>
        <w:t>*2、投标人应在投标文件中提供具体的售后服务承诺条款。</w:t>
      </w:r>
    </w:p>
    <w:p w14:paraId="57598ECE">
      <w:pPr>
        <w:spacing w:line="360" w:lineRule="auto"/>
        <w:ind w:firstLine="422" w:firstLineChars="200"/>
        <w:rPr>
          <w:rFonts w:hint="eastAsia" w:ascii="宋体" w:hAnsi="宋体"/>
          <w:b/>
          <w:color w:val="auto"/>
          <w:szCs w:val="21"/>
          <w:highlight w:val="none"/>
        </w:rPr>
      </w:pPr>
      <w:r>
        <w:rPr>
          <w:rFonts w:hint="eastAsia" w:ascii="宋体" w:hAnsi="宋体"/>
          <w:b/>
          <w:color w:val="auto"/>
          <w:szCs w:val="21"/>
          <w:highlight w:val="none"/>
        </w:rPr>
        <w:t>*3、</w:t>
      </w:r>
      <w:r>
        <w:rPr>
          <w:rFonts w:hint="eastAsia" w:ascii="宋体" w:hAnsi="宋体" w:cs="Arial"/>
          <w:b/>
          <w:bCs/>
          <w:color w:val="auto"/>
          <w:szCs w:val="21"/>
          <w:highlight w:val="none"/>
        </w:rPr>
        <w:t>投标人应在投标文件中提供书面承诺</w:t>
      </w:r>
      <w:r>
        <w:rPr>
          <w:rFonts w:hint="eastAsia" w:ascii="宋体" w:hAnsi="宋体" w:cs="Arial"/>
          <w:b/>
          <w:bCs/>
          <w:color w:val="auto"/>
          <w:szCs w:val="21"/>
          <w:highlight w:val="none"/>
          <w:lang w:eastAsia="zh-CN"/>
        </w:rPr>
        <w:t>：</w:t>
      </w:r>
      <w:r>
        <w:rPr>
          <w:rFonts w:hint="eastAsia" w:ascii="宋体" w:hAnsi="宋体"/>
          <w:b/>
          <w:color w:val="auto"/>
          <w:szCs w:val="21"/>
          <w:highlight w:val="none"/>
        </w:rPr>
        <w:t>一旦中标，在接到采购单位或最终用户的报修电话，应在0.5个工作小时内电话响应，4个工作小时内到达，到达后8个工作小时内修复；若在8个工作小时内无法修复的，中标供应商应先提供备用机供最终用户使用，直至设备修复；如中标供应商所提供的备用机与故障机的型号不同，则需免费提供耗材。如果中标供应商未在承诺的时间内将设备修复或者提供备用机的则中标供应商应按200.00元/台/天向采购单位支付逾期违约金。(注：上门服务时间主要根据最终用户需求而定，假如最终用户需要第二天上门处理的，应根据最终用户要求的时间上门；如果最终用户需要晚上19：30后上门，中标供应商也应根据最终用户的要求上门服务。如无特殊情况，须按照上述标准来服务。)</w:t>
      </w:r>
    </w:p>
    <w:p w14:paraId="205A0056">
      <w:pPr>
        <w:spacing w:line="360" w:lineRule="auto"/>
        <w:ind w:firstLine="422" w:firstLineChars="200"/>
        <w:rPr>
          <w:rFonts w:hint="eastAsia" w:ascii="宋体" w:hAnsi="宋体"/>
          <w:b/>
          <w:color w:val="auto"/>
          <w:szCs w:val="21"/>
          <w:highlight w:val="none"/>
        </w:rPr>
      </w:pPr>
      <w:r>
        <w:rPr>
          <w:rFonts w:hint="eastAsia" w:ascii="宋体" w:hAnsi="宋体"/>
          <w:b/>
          <w:color w:val="auto"/>
          <w:szCs w:val="21"/>
          <w:highlight w:val="none"/>
        </w:rPr>
        <w:t>*4、</w:t>
      </w:r>
      <w:r>
        <w:rPr>
          <w:rFonts w:hint="eastAsia" w:ascii="宋体" w:hAnsi="宋体" w:cs="Arial"/>
          <w:b/>
          <w:bCs/>
          <w:color w:val="auto"/>
          <w:szCs w:val="21"/>
          <w:highlight w:val="none"/>
        </w:rPr>
        <w:t>投标人应在投标文件中提供书面承诺</w:t>
      </w:r>
      <w:r>
        <w:rPr>
          <w:rFonts w:hint="eastAsia" w:ascii="宋体" w:hAnsi="宋体" w:cs="Arial"/>
          <w:b/>
          <w:bCs/>
          <w:color w:val="auto"/>
          <w:szCs w:val="21"/>
          <w:highlight w:val="none"/>
          <w:lang w:eastAsia="zh-CN"/>
        </w:rPr>
        <w:t>：</w:t>
      </w:r>
      <w:r>
        <w:rPr>
          <w:rFonts w:hint="eastAsia" w:ascii="宋体" w:hAnsi="宋体"/>
          <w:b/>
          <w:color w:val="auto"/>
          <w:szCs w:val="21"/>
          <w:highlight w:val="none"/>
        </w:rPr>
        <w:t>同意在出现如下任一情况的，采购单位有权单方面取消中标供应商的供货资格并没收中标供应商供货保证金、售后服务保证金。对中标供应商下述情况在厦门市政府采购网、厦门招投标网进行公示，并在三年内拒绝中标供应商进入大宗政府招标采购项目的投标报价。同时，改由</w:t>
      </w:r>
      <w:r>
        <w:rPr>
          <w:rFonts w:hint="eastAsia" w:ascii="宋体" w:hAnsi="宋体"/>
          <w:b/>
          <w:color w:val="auto"/>
          <w:szCs w:val="21"/>
          <w:highlight w:val="none"/>
          <w:lang w:val="en-US" w:eastAsia="zh-CN"/>
        </w:rPr>
        <w:t>本次</w:t>
      </w:r>
      <w:r>
        <w:rPr>
          <w:rFonts w:hint="eastAsia" w:ascii="宋体" w:hAnsi="宋体"/>
          <w:b/>
          <w:color w:val="auto"/>
          <w:szCs w:val="21"/>
          <w:highlight w:val="none"/>
        </w:rPr>
        <w:t>招标排名第二的供应商供货。</w:t>
      </w:r>
    </w:p>
    <w:p w14:paraId="0B219526">
      <w:pPr>
        <w:shd w:val="clear" w:color="auto" w:fill="FFFFFF"/>
        <w:spacing w:line="360" w:lineRule="auto"/>
        <w:ind w:firstLine="422" w:firstLineChars="200"/>
        <w:rPr>
          <w:rFonts w:hint="eastAsia" w:ascii="宋体" w:hAnsi="宋体"/>
          <w:b/>
          <w:color w:val="auto"/>
          <w:highlight w:val="none"/>
        </w:rPr>
      </w:pPr>
      <w:r>
        <w:rPr>
          <w:rFonts w:hint="eastAsia" w:ascii="宋体" w:hAnsi="宋体"/>
          <w:b/>
          <w:color w:val="auto"/>
          <w:highlight w:val="none"/>
        </w:rPr>
        <w:t>①违反法律法规、行业规范要求被有关部门查处的；</w:t>
      </w:r>
    </w:p>
    <w:p w14:paraId="2E67D272">
      <w:pPr>
        <w:shd w:val="clear" w:color="auto" w:fill="FFFFFF"/>
        <w:spacing w:line="360" w:lineRule="auto"/>
        <w:ind w:firstLine="422" w:firstLineChars="200"/>
        <w:rPr>
          <w:rFonts w:hint="eastAsia" w:ascii="宋体" w:hAnsi="宋体"/>
          <w:b/>
          <w:color w:val="auto"/>
          <w:highlight w:val="none"/>
        </w:rPr>
      </w:pPr>
      <w:r>
        <w:rPr>
          <w:rFonts w:hint="eastAsia" w:ascii="宋体" w:hAnsi="宋体"/>
          <w:b/>
          <w:color w:val="auto"/>
          <w:highlight w:val="none"/>
        </w:rPr>
        <w:t>②提供假冒伪劣产品的；</w:t>
      </w:r>
    </w:p>
    <w:p w14:paraId="344532A8">
      <w:pPr>
        <w:shd w:val="clear" w:color="auto" w:fill="FFFFFF"/>
        <w:spacing w:line="360" w:lineRule="auto"/>
        <w:ind w:firstLine="422" w:firstLineChars="200"/>
        <w:rPr>
          <w:rFonts w:hint="eastAsia" w:ascii="宋体" w:hAnsi="宋体"/>
          <w:b/>
          <w:color w:val="auto"/>
          <w:highlight w:val="none"/>
        </w:rPr>
      </w:pPr>
      <w:r>
        <w:rPr>
          <w:rFonts w:hint="eastAsia" w:ascii="宋体" w:hAnsi="宋体"/>
          <w:b/>
          <w:color w:val="auto"/>
          <w:highlight w:val="none"/>
        </w:rPr>
        <w:t>③通过给回扣或变相给回扣的方式招揽业务的；</w:t>
      </w:r>
    </w:p>
    <w:p w14:paraId="1F435B26">
      <w:pPr>
        <w:shd w:val="clear" w:color="auto" w:fill="FFFFFF"/>
        <w:spacing w:line="360" w:lineRule="auto"/>
        <w:ind w:firstLine="422" w:firstLineChars="200"/>
        <w:rPr>
          <w:rFonts w:hint="eastAsia" w:ascii="宋体" w:hAnsi="宋体"/>
          <w:b/>
          <w:color w:val="auto"/>
          <w:highlight w:val="none"/>
        </w:rPr>
      </w:pPr>
      <w:r>
        <w:rPr>
          <w:rFonts w:hint="eastAsia" w:ascii="宋体" w:hAnsi="宋体"/>
          <w:b/>
          <w:color w:val="auto"/>
          <w:highlight w:val="none"/>
        </w:rPr>
        <w:t>④因产品质量或服务问题被有效投诉达三次以上的；</w:t>
      </w:r>
    </w:p>
    <w:p w14:paraId="30F092F7">
      <w:pPr>
        <w:shd w:val="clear" w:color="auto" w:fill="FFFFFF"/>
        <w:spacing w:line="360" w:lineRule="auto"/>
        <w:ind w:firstLine="422" w:firstLineChars="200"/>
        <w:rPr>
          <w:rFonts w:hint="eastAsia" w:ascii="宋体" w:hAnsi="宋体"/>
          <w:b/>
          <w:color w:val="auto"/>
          <w:highlight w:val="none"/>
        </w:rPr>
      </w:pPr>
      <w:r>
        <w:rPr>
          <w:rFonts w:hint="eastAsia" w:ascii="宋体" w:hAnsi="宋体"/>
          <w:b/>
          <w:color w:val="auto"/>
          <w:highlight w:val="none"/>
        </w:rPr>
        <w:t>⑤向有关部门、买方、最终使用方提供虚假信息或资料等情况的；</w:t>
      </w:r>
    </w:p>
    <w:p w14:paraId="6AF52580">
      <w:pPr>
        <w:shd w:val="clear" w:color="auto" w:fill="FFFFFF"/>
        <w:spacing w:line="360" w:lineRule="auto"/>
        <w:ind w:firstLine="422" w:firstLineChars="200"/>
        <w:rPr>
          <w:rFonts w:hint="eastAsia" w:ascii="宋体" w:hAnsi="宋体"/>
          <w:b/>
          <w:color w:val="auto"/>
          <w:highlight w:val="none"/>
        </w:rPr>
      </w:pPr>
      <w:r>
        <w:rPr>
          <w:rFonts w:hint="eastAsia" w:ascii="宋体" w:hAnsi="宋体"/>
          <w:b/>
          <w:color w:val="auto"/>
          <w:highlight w:val="none"/>
        </w:rPr>
        <w:t>⑥出现重大客户投诉事件（如政府采购管理部门督办事件、新闻媒体公开报道、采购业主书面发函投诉以及其他对买方产生严重负面影响的事件）；</w:t>
      </w:r>
    </w:p>
    <w:p w14:paraId="5F6FAC54">
      <w:pPr>
        <w:shd w:val="clear" w:color="auto" w:fill="FFFFFF"/>
        <w:spacing w:line="360" w:lineRule="auto"/>
        <w:ind w:firstLine="422" w:firstLineChars="200"/>
        <w:rPr>
          <w:rFonts w:hint="eastAsia" w:ascii="宋体" w:hAnsi="宋体"/>
          <w:b/>
          <w:color w:val="auto"/>
          <w:highlight w:val="none"/>
        </w:rPr>
      </w:pPr>
      <w:r>
        <w:rPr>
          <w:rFonts w:hint="eastAsia" w:ascii="宋体" w:hAnsi="宋体"/>
          <w:b/>
          <w:color w:val="auto"/>
          <w:highlight w:val="none"/>
        </w:rPr>
        <w:t>⑦报修率超过3%（按品类分别统计，例如：针式打印机等）。报修率=保修期内硬件故障报修有效台次/已销售台数*100%（已销售台数超过100台之后开始计算报修率）。</w:t>
      </w:r>
    </w:p>
    <w:p w14:paraId="3D951E6D">
      <w:pPr>
        <w:shd w:val="clear" w:color="auto" w:fill="FFFFFF"/>
        <w:spacing w:line="360" w:lineRule="auto"/>
        <w:ind w:firstLine="422" w:firstLineChars="200"/>
        <w:rPr>
          <w:rFonts w:hint="eastAsia" w:ascii="宋体" w:hAnsi="宋体"/>
          <w:b/>
          <w:color w:val="auto"/>
          <w:highlight w:val="none"/>
        </w:rPr>
      </w:pPr>
      <w:r>
        <w:rPr>
          <w:rFonts w:hint="eastAsia" w:ascii="宋体" w:hAnsi="宋体"/>
          <w:b/>
          <w:color w:val="auto"/>
          <w:highlight w:val="none"/>
        </w:rPr>
        <w:t>⑧逾期供货时间超过30天。（从订单发出之日开始计算，超过合同规定供货周期的天数）。</w:t>
      </w:r>
    </w:p>
    <w:p w14:paraId="08ABC9FD">
      <w:pPr>
        <w:shd w:val="clear" w:color="auto" w:fill="FFFFFF"/>
        <w:spacing w:line="360" w:lineRule="auto"/>
        <w:ind w:firstLine="422" w:firstLineChars="200"/>
        <w:rPr>
          <w:rFonts w:hint="eastAsia" w:ascii="宋体" w:hAnsi="宋体"/>
          <w:b/>
          <w:color w:val="auto"/>
          <w:highlight w:val="none"/>
        </w:rPr>
      </w:pPr>
      <w:r>
        <w:rPr>
          <w:rFonts w:hint="eastAsia" w:ascii="宋体" w:hAnsi="宋体"/>
          <w:b/>
          <w:color w:val="auto"/>
          <w:highlight w:val="none"/>
        </w:rPr>
        <w:t>⑨产品入库检测、检验时发现大面积产品质量问题。</w:t>
      </w:r>
    </w:p>
    <w:p w14:paraId="65B6E796">
      <w:pPr>
        <w:spacing w:line="360" w:lineRule="auto"/>
        <w:rPr>
          <w:rFonts w:hint="eastAsia" w:ascii="宋体" w:hAnsi="宋体"/>
          <w:b/>
          <w:color w:val="auto"/>
          <w:sz w:val="28"/>
          <w:szCs w:val="28"/>
          <w:highlight w:val="none"/>
        </w:rPr>
      </w:pPr>
      <w:r>
        <w:rPr>
          <w:rFonts w:hint="eastAsia" w:ascii="宋体" w:hAnsi="宋体"/>
          <w:b/>
          <w:color w:val="auto"/>
          <w:sz w:val="28"/>
          <w:szCs w:val="28"/>
          <w:highlight w:val="none"/>
        </w:rPr>
        <w:t>五、报价要求：</w:t>
      </w:r>
    </w:p>
    <w:p w14:paraId="0760ACC0">
      <w:pPr>
        <w:spacing w:line="360" w:lineRule="auto"/>
        <w:ind w:firstLine="422" w:firstLineChars="200"/>
        <w:rPr>
          <w:rFonts w:hint="eastAsia" w:ascii="宋体" w:hAnsi="宋体"/>
          <w:b/>
          <w:color w:val="auto"/>
          <w:szCs w:val="21"/>
          <w:highlight w:val="none"/>
        </w:rPr>
      </w:pPr>
      <w:r>
        <w:rPr>
          <w:rFonts w:hint="eastAsia" w:ascii="宋体" w:hAnsi="宋体"/>
          <w:b/>
          <w:color w:val="auto"/>
          <w:szCs w:val="21"/>
          <w:highlight w:val="none"/>
        </w:rPr>
        <w:t>*1、投标人须以人民币报价，报价总价为所投设备经最终验收合格并交付使用所有可能发生的费用，包括设备费、运送至采购单位指定地点的运输费、运输费保险费、专用工具费、税费、采购保管费、安装费、检验验收、安装调试费以及售后服务等一切费用（投标人可在分项报价表中详细列出报价，如果所列分项报价不含以上内容，则视为已含在投标总价中），报价方式为总包价。</w:t>
      </w:r>
    </w:p>
    <w:p w14:paraId="6E558C34">
      <w:pPr>
        <w:spacing w:line="360" w:lineRule="auto"/>
        <w:ind w:firstLine="422" w:firstLineChars="200"/>
        <w:rPr>
          <w:rFonts w:hint="eastAsia" w:ascii="宋体" w:hAnsi="宋体"/>
          <w:b/>
          <w:color w:val="auto"/>
          <w:szCs w:val="21"/>
          <w:highlight w:val="none"/>
        </w:rPr>
      </w:pPr>
      <w:r>
        <w:rPr>
          <w:rFonts w:hint="eastAsia" w:ascii="宋体" w:hAnsi="宋体"/>
          <w:b/>
          <w:color w:val="auto"/>
          <w:szCs w:val="21"/>
          <w:highlight w:val="none"/>
        </w:rPr>
        <w:t>*2、投标人必须列出招标货物一览表中各品目号设备的单价及总价。</w:t>
      </w:r>
    </w:p>
    <w:p w14:paraId="15D2D7E7">
      <w:pPr>
        <w:spacing w:line="360" w:lineRule="auto"/>
        <w:ind w:firstLine="422" w:firstLineChars="200"/>
        <w:rPr>
          <w:rFonts w:hint="eastAsia" w:ascii="宋体" w:hAnsi="宋体"/>
          <w:color w:val="auto"/>
          <w:highlight w:val="none"/>
        </w:rPr>
      </w:pPr>
      <w:r>
        <w:rPr>
          <w:rFonts w:hint="eastAsia" w:ascii="宋体" w:hAnsi="宋体"/>
          <w:b/>
          <w:color w:val="auto"/>
          <w:szCs w:val="21"/>
          <w:highlight w:val="none"/>
        </w:rPr>
        <w:t>*3、本项目采购预</w:t>
      </w:r>
      <w:r>
        <w:rPr>
          <w:rFonts w:hint="default" w:ascii="宋体" w:hAnsi="宋体"/>
          <w:b/>
          <w:color w:val="auto"/>
          <w:szCs w:val="21"/>
          <w:highlight w:val="none"/>
        </w:rPr>
        <w:t>算</w:t>
      </w:r>
      <w:r>
        <w:rPr>
          <w:rFonts w:hint="eastAsia" w:ascii="宋体" w:hAnsi="宋体"/>
          <w:b/>
          <w:color w:val="auto"/>
          <w:szCs w:val="21"/>
          <w:highlight w:val="none"/>
        </w:rPr>
        <w:t>为人民币1</w:t>
      </w:r>
      <w:r>
        <w:rPr>
          <w:rFonts w:hint="eastAsia" w:ascii="宋体" w:hAnsi="宋体"/>
          <w:b/>
          <w:color w:val="auto"/>
          <w:szCs w:val="21"/>
          <w:highlight w:val="none"/>
          <w:lang w:val="en-US" w:eastAsia="zh-CN"/>
        </w:rPr>
        <w:t>26</w:t>
      </w:r>
      <w:r>
        <w:rPr>
          <w:rFonts w:hint="eastAsia" w:ascii="宋体" w:hAnsi="宋体"/>
          <w:b/>
          <w:color w:val="auto"/>
          <w:szCs w:val="21"/>
          <w:highlight w:val="none"/>
        </w:rPr>
        <w:t>万元整，报价总价不得超过该预算，且品目号1-1单台设备报价不得超过</w:t>
      </w:r>
      <w:r>
        <w:rPr>
          <w:rFonts w:hint="eastAsia" w:ascii="宋体" w:hAnsi="宋体"/>
          <w:b/>
          <w:color w:val="auto"/>
          <w:szCs w:val="21"/>
          <w:highlight w:val="none"/>
          <w:u w:val="single"/>
        </w:rPr>
        <w:t>1200</w:t>
      </w:r>
      <w:r>
        <w:rPr>
          <w:rFonts w:hint="eastAsia" w:ascii="宋体" w:hAnsi="宋体"/>
          <w:b/>
          <w:color w:val="auto"/>
          <w:szCs w:val="21"/>
          <w:highlight w:val="none"/>
        </w:rPr>
        <w:t>元/台；且品目号1-2单台设备报价不得超过</w:t>
      </w:r>
      <w:r>
        <w:rPr>
          <w:rFonts w:hint="eastAsia" w:ascii="宋体" w:hAnsi="宋体"/>
          <w:b/>
          <w:color w:val="auto"/>
          <w:szCs w:val="21"/>
          <w:highlight w:val="none"/>
          <w:u w:val="single"/>
        </w:rPr>
        <w:t>1700</w:t>
      </w:r>
      <w:r>
        <w:rPr>
          <w:rFonts w:hint="eastAsia" w:ascii="宋体" w:hAnsi="宋体"/>
          <w:b/>
          <w:color w:val="auto"/>
          <w:szCs w:val="21"/>
          <w:highlight w:val="none"/>
        </w:rPr>
        <w:t>元/台；且品目号1-3单台设备报价不得超过</w:t>
      </w:r>
      <w:r>
        <w:rPr>
          <w:rFonts w:hint="eastAsia" w:ascii="宋体" w:hAnsi="宋体"/>
          <w:b/>
          <w:color w:val="auto"/>
          <w:szCs w:val="21"/>
          <w:highlight w:val="none"/>
          <w:u w:val="single"/>
          <w:lang w:val="en-US" w:eastAsia="zh-CN"/>
        </w:rPr>
        <w:t>1900</w:t>
      </w:r>
      <w:r>
        <w:rPr>
          <w:rFonts w:hint="eastAsia" w:ascii="宋体" w:hAnsi="宋体"/>
          <w:b/>
          <w:color w:val="auto"/>
          <w:szCs w:val="21"/>
          <w:highlight w:val="none"/>
        </w:rPr>
        <w:t>元/台；且品目号1-4单台设备报价不得超过</w:t>
      </w:r>
      <w:r>
        <w:rPr>
          <w:rFonts w:hint="eastAsia" w:ascii="宋体" w:hAnsi="宋体"/>
          <w:b/>
          <w:color w:val="auto"/>
          <w:szCs w:val="21"/>
          <w:highlight w:val="none"/>
          <w:u w:val="single"/>
          <w:lang w:val="en-US" w:eastAsia="zh-CN"/>
        </w:rPr>
        <w:t>2500</w:t>
      </w:r>
      <w:r>
        <w:rPr>
          <w:rFonts w:hint="eastAsia" w:ascii="宋体" w:hAnsi="宋体"/>
          <w:b/>
          <w:color w:val="auto"/>
          <w:szCs w:val="21"/>
          <w:highlight w:val="none"/>
        </w:rPr>
        <w:t>元/台。</w:t>
      </w:r>
    </w:p>
    <w:p w14:paraId="08742E47">
      <w:pPr>
        <w:adjustRightInd w:val="0"/>
        <w:snapToGrid w:val="0"/>
        <w:spacing w:line="360" w:lineRule="auto"/>
        <w:ind w:firstLine="422" w:firstLineChars="200"/>
        <w:jc w:val="left"/>
        <w:rPr>
          <w:rFonts w:ascii="宋体" w:hAnsi="宋体"/>
          <w:b/>
          <w:color w:val="auto"/>
          <w:szCs w:val="21"/>
          <w:highlight w:val="none"/>
        </w:rPr>
      </w:pPr>
      <w:r>
        <w:rPr>
          <w:rFonts w:hint="eastAsia" w:ascii="宋体" w:hAnsi="宋体"/>
          <w:b/>
          <w:color w:val="auto"/>
          <w:szCs w:val="21"/>
          <w:highlight w:val="none"/>
        </w:rPr>
        <w:t>*4、除《定货单》另有要求外，投标人负责将货物配送至采购单位仓库集中仓储（福建省内的指定城市），并根据采购单位指令从仓库提货后进行二次配送至最终用户；投标人除承担运送至采购单位仓库的仓储操作费用，还应同时承担从采购单位仓库运送至最终用户的二次配送费用（仅包括采购单位仓库所在地行政区域的二次配送费）。投标人在接到采购单位《定货单》之日起15个日历日之内货交采购单位仓库；并于接到采购单位通知后，厦门市行政区域内24小时、厦门市行政区域外48小时从采购单位仓库运送至最终用户。投标人从采购单位仓库中提货后，货物毁损、灭失的风险转移至投标人。若投标人未按上述约定的时间完成二次配送的，采购单位有权直接委托第三方物流代为配送，仓储操作费和二次配送费由投标人直接向第三方物流支付，且货物毁损、灭失的风险转移至投标人。送采购单位仓库后再送至最终用户的，投标人除承担运送至买方仓库的费用，还应同时承担从采购单位仓库运送至最终用户的仓储操作费和二次配送费（按仓储操作费</w:t>
      </w:r>
      <w:r>
        <w:rPr>
          <w:rFonts w:hint="eastAsia" w:ascii="宋体" w:hAnsi="宋体"/>
          <w:b/>
          <w:color w:val="auto"/>
          <w:szCs w:val="21"/>
          <w:highlight w:val="none"/>
          <w:lang w:val="en-US" w:eastAsia="zh-CN"/>
        </w:rPr>
        <w:t>10</w:t>
      </w:r>
      <w:r>
        <w:rPr>
          <w:rFonts w:hint="eastAsia" w:ascii="宋体" w:hAnsi="宋体"/>
          <w:b/>
          <w:color w:val="auto"/>
          <w:szCs w:val="21"/>
          <w:highlight w:val="none"/>
        </w:rPr>
        <w:t>元/台；二次配送费15元/台）。若投标人未向第三方物流支付仓储操作费和二次配送费的，采购单位将代为支付，并从未付投标人款项中扣除。</w:t>
      </w:r>
    </w:p>
    <w:p w14:paraId="3E116096">
      <w:pPr>
        <w:adjustRightInd w:val="0"/>
        <w:snapToGrid w:val="0"/>
        <w:spacing w:line="360" w:lineRule="auto"/>
        <w:ind w:firstLine="413" w:firstLineChars="196"/>
        <w:rPr>
          <w:rFonts w:hint="eastAsia" w:ascii="宋体" w:hAnsi="宋体"/>
          <w:b/>
          <w:color w:val="auto"/>
          <w:szCs w:val="21"/>
          <w:highlight w:val="none"/>
        </w:rPr>
      </w:pPr>
      <w:r>
        <w:rPr>
          <w:rFonts w:hint="eastAsia" w:ascii="宋体" w:hAnsi="宋体"/>
          <w:b/>
          <w:color w:val="auto"/>
          <w:szCs w:val="21"/>
          <w:highlight w:val="none"/>
        </w:rPr>
        <w:t>*5、合同签订之日</w:t>
      </w:r>
      <w:r>
        <w:rPr>
          <w:rFonts w:hint="eastAsia" w:ascii="宋体" w:hAnsi="宋体"/>
          <w:b/>
          <w:color w:val="auto"/>
          <w:szCs w:val="21"/>
          <w:highlight w:val="none"/>
          <w:lang w:val="en-US" w:eastAsia="zh-CN"/>
        </w:rPr>
        <w:t>起</w:t>
      </w:r>
      <w:r>
        <w:rPr>
          <w:rFonts w:hint="eastAsia" w:ascii="宋体" w:hAnsi="宋体"/>
          <w:b/>
          <w:color w:val="auto"/>
          <w:szCs w:val="21"/>
          <w:highlight w:val="none"/>
        </w:rPr>
        <w:t>每三个月，采购单位可根据市场行情变化，与中标供应商就产品单价进行重新谈判。</w:t>
      </w:r>
    </w:p>
    <w:p w14:paraId="52E78460">
      <w:pPr>
        <w:adjustRightInd w:val="0"/>
        <w:snapToGrid w:val="0"/>
        <w:spacing w:line="360" w:lineRule="auto"/>
        <w:ind w:firstLine="413" w:firstLineChars="196"/>
        <w:rPr>
          <w:rFonts w:hint="eastAsia" w:ascii="宋体" w:hAnsi="宋体"/>
          <w:b/>
          <w:color w:val="auto"/>
          <w:szCs w:val="21"/>
          <w:highlight w:val="none"/>
        </w:rPr>
      </w:pPr>
      <w:r>
        <w:rPr>
          <w:rFonts w:hint="eastAsia" w:ascii="宋体" w:hAnsi="宋体"/>
          <w:b/>
          <w:color w:val="auto"/>
          <w:szCs w:val="21"/>
          <w:highlight w:val="none"/>
        </w:rPr>
        <w:t>*6、投标人承诺同意在供货期间，遇合同型号价格下调，中标供应商应在2个工作日内将新的价格以书面形式告知采购单位，经采购单位确认后按最新价格进行供货并结算。一旦采购单位发现合同单价高于其它同类销售渠道或主流网站（京东、苏宁易购、易迅、1号店、天猫）等的常规销售价格，</w:t>
      </w:r>
      <w:r>
        <w:rPr>
          <w:rFonts w:hint="eastAsia" w:ascii="宋体" w:hAnsi="宋体"/>
          <w:b/>
          <w:color w:val="auto"/>
          <w:highlight w:val="none"/>
        </w:rPr>
        <w:t>买方有权要求卖方按照主流网站的最低价格再下浮1.5%作为合同货物的价格，</w:t>
      </w:r>
      <w:r>
        <w:rPr>
          <w:rFonts w:hint="eastAsia" w:ascii="宋体" w:hAnsi="宋体"/>
          <w:b/>
          <w:color w:val="auto"/>
          <w:szCs w:val="21"/>
          <w:highlight w:val="none"/>
        </w:rPr>
        <w:t>如中标供应商拒绝调整或双方就价格调整无法协商一致的，中标供应商应按逾期天数，每日承担相当于供货及售后服务保证金金额0.5%的违约金，同时采购单位有权终止本合同，不视为采购单位违约。</w:t>
      </w:r>
    </w:p>
    <w:p w14:paraId="2D90A15B">
      <w:pPr>
        <w:adjustRightInd w:val="0"/>
        <w:snapToGrid w:val="0"/>
        <w:spacing w:line="360" w:lineRule="auto"/>
        <w:ind w:firstLine="413" w:firstLineChars="196"/>
        <w:rPr>
          <w:rFonts w:hint="eastAsia" w:ascii="宋体" w:hAnsi="宋体"/>
          <w:b/>
          <w:color w:val="auto"/>
          <w:szCs w:val="21"/>
          <w:highlight w:val="none"/>
        </w:rPr>
      </w:pPr>
      <w:r>
        <w:rPr>
          <w:rFonts w:hint="eastAsia" w:ascii="宋体" w:hAnsi="宋体"/>
          <w:b/>
          <w:color w:val="auto"/>
          <w:szCs w:val="21"/>
          <w:highlight w:val="none"/>
        </w:rPr>
        <w:t>*7、中标供应商应在合同签订之日起7个日历日内向采购单位缴交</w:t>
      </w:r>
      <w:r>
        <w:rPr>
          <w:rFonts w:hint="eastAsia" w:ascii="宋体" w:hAnsi="宋体"/>
          <w:b/>
          <w:color w:val="auto"/>
          <w:szCs w:val="21"/>
          <w:highlight w:val="none"/>
          <w:lang w:val="en-US" w:eastAsia="zh-CN"/>
        </w:rPr>
        <w:t>1万元</w:t>
      </w:r>
      <w:r>
        <w:rPr>
          <w:rFonts w:hint="eastAsia" w:ascii="宋体" w:hAnsi="宋体"/>
          <w:b/>
          <w:color w:val="auto"/>
          <w:szCs w:val="21"/>
          <w:highlight w:val="none"/>
        </w:rPr>
        <w:t>的供货保证金。供货保证金待本合同结束后1个月后的15个工作日内返还（扣除相应的违约金、赔偿金）。</w:t>
      </w:r>
    </w:p>
    <w:p w14:paraId="154D53AD">
      <w:pPr>
        <w:adjustRightInd w:val="0"/>
        <w:snapToGrid w:val="0"/>
        <w:spacing w:line="360" w:lineRule="auto"/>
        <w:ind w:firstLine="413" w:firstLineChars="196"/>
        <w:rPr>
          <w:rFonts w:hint="eastAsia" w:ascii="宋体" w:hAnsi="宋体"/>
          <w:b/>
          <w:color w:val="auto"/>
          <w:szCs w:val="21"/>
          <w:highlight w:val="none"/>
        </w:rPr>
      </w:pPr>
      <w:r>
        <w:rPr>
          <w:rFonts w:hint="eastAsia" w:ascii="宋体" w:hAnsi="宋体"/>
          <w:b/>
          <w:color w:val="auto"/>
          <w:szCs w:val="21"/>
          <w:highlight w:val="none"/>
        </w:rPr>
        <w:t>*8、中标供应商应在合同签订之日起7个日历日内向采购单位缴交</w:t>
      </w:r>
      <w:r>
        <w:rPr>
          <w:rFonts w:hint="eastAsia" w:ascii="宋体" w:hAnsi="宋体"/>
          <w:b/>
          <w:color w:val="auto"/>
          <w:szCs w:val="21"/>
          <w:highlight w:val="none"/>
          <w:lang w:val="en-US" w:eastAsia="zh-CN"/>
        </w:rPr>
        <w:t>1.5万元</w:t>
      </w:r>
      <w:r>
        <w:rPr>
          <w:rFonts w:hint="eastAsia" w:ascii="宋体" w:hAnsi="宋体"/>
          <w:b/>
          <w:color w:val="auto"/>
          <w:szCs w:val="21"/>
          <w:highlight w:val="none"/>
        </w:rPr>
        <w:t>的售后服务保证金。售后服务保证金待最后一批次货物保修期届满后的15个工作日内返还（扣除相应的违约金、赔偿金）。</w:t>
      </w:r>
    </w:p>
    <w:p w14:paraId="0854F91A">
      <w:pPr>
        <w:adjustRightInd w:val="0"/>
        <w:snapToGrid w:val="0"/>
        <w:spacing w:line="360" w:lineRule="auto"/>
        <w:rPr>
          <w:rFonts w:hint="eastAsia" w:ascii="宋体" w:hAnsi="宋体"/>
          <w:b/>
          <w:color w:val="auto"/>
          <w:sz w:val="28"/>
          <w:szCs w:val="28"/>
          <w:highlight w:val="none"/>
        </w:rPr>
      </w:pPr>
      <w:r>
        <w:rPr>
          <w:rFonts w:hint="eastAsia" w:ascii="宋体" w:hAnsi="宋体"/>
          <w:b/>
          <w:color w:val="auto"/>
          <w:sz w:val="28"/>
          <w:szCs w:val="28"/>
          <w:highlight w:val="none"/>
        </w:rPr>
        <w:t>六、其他要求及说明</w:t>
      </w:r>
    </w:p>
    <w:p w14:paraId="22ED81D4">
      <w:pPr>
        <w:spacing w:line="360" w:lineRule="auto"/>
        <w:ind w:firstLine="413" w:firstLineChars="196"/>
        <w:rPr>
          <w:rFonts w:hint="eastAsia" w:ascii="宋体" w:hAnsi="宋体"/>
          <w:b/>
          <w:color w:val="auto"/>
          <w:szCs w:val="21"/>
          <w:highlight w:val="none"/>
        </w:rPr>
      </w:pPr>
      <w:r>
        <w:rPr>
          <w:rFonts w:hint="eastAsia" w:ascii="宋体" w:hAnsi="宋体"/>
          <w:b/>
          <w:color w:val="auto"/>
          <w:szCs w:val="21"/>
          <w:highlight w:val="none"/>
        </w:rPr>
        <w:t>*1、</w:t>
      </w:r>
      <w:r>
        <w:rPr>
          <w:rFonts w:hint="eastAsia" w:ascii="宋体" w:hAnsi="宋体" w:cs="Arial"/>
          <w:b/>
          <w:bCs/>
          <w:color w:val="auto"/>
          <w:szCs w:val="21"/>
          <w:highlight w:val="none"/>
        </w:rPr>
        <w:t>投标人应在投标文件中提供书面承诺</w:t>
      </w:r>
      <w:r>
        <w:rPr>
          <w:rFonts w:hint="eastAsia" w:ascii="宋体" w:hAnsi="宋体"/>
          <w:b/>
          <w:color w:val="auto"/>
          <w:szCs w:val="21"/>
          <w:highlight w:val="none"/>
        </w:rPr>
        <w:t>：投标人承诺接受《采购合同》中《服务考核细则》对其的考核并同意按考核情况处理。</w:t>
      </w:r>
    </w:p>
    <w:p w14:paraId="2F3EC50A">
      <w:pPr>
        <w:tabs>
          <w:tab w:val="left" w:pos="5130"/>
        </w:tabs>
        <w:spacing w:line="360" w:lineRule="auto"/>
        <w:ind w:firstLine="422" w:firstLineChars="200"/>
        <w:rPr>
          <w:rFonts w:hint="eastAsia" w:ascii="宋体" w:hAnsi="宋体"/>
          <w:b/>
          <w:color w:val="auto"/>
          <w:szCs w:val="21"/>
          <w:highlight w:val="none"/>
        </w:rPr>
      </w:pPr>
      <w:r>
        <w:rPr>
          <w:rFonts w:hint="eastAsia" w:ascii="宋体" w:hAnsi="宋体"/>
          <w:b/>
          <w:color w:val="auto"/>
          <w:szCs w:val="21"/>
          <w:highlight w:val="none"/>
        </w:rPr>
        <w:t>*2、采购单位付款时，</w:t>
      </w:r>
      <w:r>
        <w:rPr>
          <w:rFonts w:hint="eastAsia" w:ascii="宋体" w:hAnsi="宋体" w:cs="宋体"/>
          <w:b/>
          <w:color w:val="auto"/>
          <w:kern w:val="0"/>
          <w:szCs w:val="21"/>
          <w:highlight w:val="none"/>
        </w:rPr>
        <w:t>中标</w:t>
      </w:r>
      <w:r>
        <w:rPr>
          <w:rFonts w:hint="eastAsia" w:ascii="宋体" w:hAnsi="宋体"/>
          <w:b/>
          <w:color w:val="auto"/>
          <w:szCs w:val="21"/>
          <w:highlight w:val="none"/>
        </w:rPr>
        <w:t>供应商应提供一般纳税人的增值税专用发票；否则，采购单位有权拒绝支付相应款项。</w:t>
      </w:r>
    </w:p>
    <w:p w14:paraId="3884C6D7">
      <w:pPr>
        <w:tabs>
          <w:tab w:val="left" w:pos="5130"/>
        </w:tabs>
        <w:spacing w:line="360" w:lineRule="auto"/>
        <w:ind w:firstLine="422" w:firstLineChars="200"/>
        <w:rPr>
          <w:rFonts w:hint="eastAsia" w:ascii="宋体" w:hAnsi="宋体"/>
          <w:b/>
          <w:color w:val="auto"/>
          <w:szCs w:val="21"/>
          <w:highlight w:val="none"/>
        </w:rPr>
      </w:pPr>
      <w:r>
        <w:rPr>
          <w:rFonts w:hint="eastAsia" w:ascii="宋体" w:hAnsi="宋体"/>
          <w:b/>
          <w:color w:val="auto"/>
          <w:szCs w:val="21"/>
          <w:highlight w:val="none"/>
        </w:rPr>
        <w:t>*3、</w:t>
      </w:r>
      <w:r>
        <w:rPr>
          <w:rFonts w:hint="eastAsia" w:ascii="宋体" w:hAnsi="宋体" w:cs="Arial"/>
          <w:b/>
          <w:bCs/>
          <w:color w:val="auto"/>
          <w:szCs w:val="21"/>
          <w:highlight w:val="none"/>
        </w:rPr>
        <w:t>投标人应在投标文件中提供书面承诺</w:t>
      </w:r>
      <w:r>
        <w:rPr>
          <w:rFonts w:hint="eastAsia" w:ascii="宋体" w:hAnsi="宋体" w:cs="Arial"/>
          <w:b/>
          <w:bCs/>
          <w:color w:val="auto"/>
          <w:szCs w:val="21"/>
          <w:highlight w:val="none"/>
          <w:lang w:eastAsia="zh-CN"/>
        </w:rPr>
        <w:t>：</w:t>
      </w:r>
      <w:r>
        <w:rPr>
          <w:rFonts w:hint="eastAsia" w:ascii="宋体" w:hAnsi="宋体"/>
          <w:b/>
          <w:color w:val="auto"/>
          <w:szCs w:val="21"/>
          <w:highlight w:val="none"/>
        </w:rPr>
        <w:t>如获中标将配合采购单位及产品检验检测机构进行投标产品的检验检测，产品检验检测产生的一切相关费用由</w:t>
      </w:r>
      <w:r>
        <w:rPr>
          <w:rFonts w:hint="eastAsia" w:ascii="宋体" w:hAnsi="宋体" w:cs="宋体"/>
          <w:b/>
          <w:color w:val="auto"/>
          <w:kern w:val="0"/>
          <w:szCs w:val="21"/>
          <w:highlight w:val="none"/>
        </w:rPr>
        <w:t>中标</w:t>
      </w:r>
      <w:r>
        <w:rPr>
          <w:rFonts w:hint="eastAsia" w:ascii="宋体" w:hAnsi="宋体"/>
          <w:b/>
          <w:color w:val="auto"/>
          <w:szCs w:val="21"/>
          <w:highlight w:val="none"/>
        </w:rPr>
        <w:t>供应商承担。</w:t>
      </w:r>
    </w:p>
    <w:p w14:paraId="14211979">
      <w:pPr>
        <w:spacing w:line="360" w:lineRule="auto"/>
        <w:ind w:firstLine="422" w:firstLineChars="200"/>
        <w:rPr>
          <w:rFonts w:hint="eastAsia" w:ascii="宋体" w:hAnsi="宋体"/>
          <w:b/>
          <w:color w:val="auto"/>
          <w:szCs w:val="21"/>
          <w:highlight w:val="none"/>
        </w:rPr>
      </w:pPr>
      <w:r>
        <w:rPr>
          <w:rFonts w:hint="eastAsia" w:ascii="宋体" w:hAnsi="宋体"/>
          <w:b/>
          <w:color w:val="auto"/>
          <w:szCs w:val="21"/>
          <w:highlight w:val="none"/>
        </w:rPr>
        <w:t>*4、</w:t>
      </w:r>
      <w:r>
        <w:rPr>
          <w:rFonts w:hint="eastAsia" w:ascii="宋体" w:hAnsi="宋体" w:cs="Arial"/>
          <w:b/>
          <w:bCs/>
          <w:color w:val="auto"/>
          <w:szCs w:val="21"/>
          <w:highlight w:val="none"/>
        </w:rPr>
        <w:t>投标人应在投标文件中提供书面承诺</w:t>
      </w:r>
      <w:r>
        <w:rPr>
          <w:rFonts w:hint="eastAsia" w:ascii="宋体" w:hAnsi="宋体" w:cs="Arial"/>
          <w:b/>
          <w:bCs/>
          <w:color w:val="auto"/>
          <w:szCs w:val="21"/>
          <w:highlight w:val="none"/>
          <w:lang w:eastAsia="zh-CN"/>
        </w:rPr>
        <w:t>：</w:t>
      </w:r>
      <w:r>
        <w:rPr>
          <w:rFonts w:hint="eastAsia" w:ascii="宋体" w:hAnsi="宋体"/>
          <w:b/>
          <w:color w:val="auto"/>
          <w:szCs w:val="21"/>
          <w:highlight w:val="none"/>
        </w:rPr>
        <w:t>同意免费提供</w:t>
      </w:r>
      <w:r>
        <w:rPr>
          <w:rFonts w:hint="eastAsia" w:ascii="宋体" w:hAnsi="宋体" w:eastAsia="宋体" w:cs="Times New Roman"/>
          <w:b/>
          <w:color w:val="auto"/>
          <w:sz w:val="21"/>
          <w:szCs w:val="21"/>
          <w:highlight w:val="none"/>
          <w:lang w:val="en-US" w:eastAsia="zh-CN"/>
        </w:rPr>
        <w:t>2</w:t>
      </w:r>
      <w:r>
        <w:rPr>
          <w:rFonts w:hint="eastAsia" w:ascii="宋体" w:hAnsi="宋体" w:eastAsia="宋体" w:cs="Times New Roman"/>
          <w:b/>
          <w:color w:val="auto"/>
          <w:sz w:val="21"/>
          <w:szCs w:val="21"/>
          <w:highlight w:val="none"/>
        </w:rPr>
        <w:t>台品目号1-1</w:t>
      </w:r>
      <w:r>
        <w:rPr>
          <w:rFonts w:hint="eastAsia" w:ascii="宋体" w:hAnsi="宋体" w:eastAsia="宋体" w:cs="Times New Roman"/>
          <w:b/>
          <w:color w:val="auto"/>
          <w:sz w:val="21"/>
          <w:szCs w:val="21"/>
          <w:highlight w:val="none"/>
          <w:lang w:eastAsia="zh-CN"/>
        </w:rPr>
        <w:t>，</w:t>
      </w:r>
      <w:r>
        <w:rPr>
          <w:rFonts w:hint="eastAsia" w:ascii="宋体" w:hAnsi="宋体" w:eastAsia="宋体" w:cs="Times New Roman"/>
          <w:b/>
          <w:color w:val="auto"/>
          <w:sz w:val="21"/>
          <w:szCs w:val="21"/>
          <w:highlight w:val="none"/>
          <w:lang w:val="en-US" w:eastAsia="zh-CN"/>
        </w:rPr>
        <w:t>1台</w:t>
      </w:r>
      <w:r>
        <w:rPr>
          <w:rFonts w:hint="eastAsia" w:ascii="宋体" w:hAnsi="宋体" w:eastAsia="宋体" w:cs="Times New Roman"/>
          <w:b/>
          <w:color w:val="auto"/>
          <w:sz w:val="21"/>
          <w:szCs w:val="21"/>
          <w:highlight w:val="none"/>
        </w:rPr>
        <w:t>品目号1-</w:t>
      </w:r>
      <w:r>
        <w:rPr>
          <w:rFonts w:hint="eastAsia" w:ascii="宋体" w:hAnsi="宋体" w:eastAsia="宋体" w:cs="Times New Roman"/>
          <w:b/>
          <w:color w:val="auto"/>
          <w:sz w:val="21"/>
          <w:szCs w:val="21"/>
          <w:highlight w:val="none"/>
          <w:lang w:val="en-US" w:eastAsia="zh-CN"/>
        </w:rPr>
        <w:t>3</w:t>
      </w:r>
      <w:r>
        <w:rPr>
          <w:rFonts w:hint="eastAsia" w:ascii="宋体" w:hAnsi="宋体"/>
          <w:b/>
          <w:color w:val="auto"/>
          <w:szCs w:val="21"/>
          <w:highlight w:val="none"/>
        </w:rPr>
        <w:t>的投标产品给予采购单位作为备用机，且于中标后第一次供货时一并提供，质保期满后，备用机不再收回。如中标供应商未能如期送达备用机，应按每天每台承担相当于履约保证金1%的违约金。备用机归采购单位所有，由采购单位自行调配，合同履行结束后，无需归还。</w:t>
      </w:r>
    </w:p>
    <w:p w14:paraId="08D370EB">
      <w:pPr>
        <w:spacing w:line="360" w:lineRule="auto"/>
        <w:ind w:firstLine="422" w:firstLineChars="200"/>
        <w:rPr>
          <w:rFonts w:hint="eastAsia" w:ascii="宋体" w:hAnsi="宋体"/>
          <w:b/>
          <w:color w:val="auto"/>
          <w:szCs w:val="21"/>
          <w:highlight w:val="none"/>
        </w:rPr>
      </w:pPr>
      <w:r>
        <w:rPr>
          <w:rFonts w:hint="eastAsia" w:ascii="宋体" w:hAnsi="宋体"/>
          <w:b/>
          <w:color w:val="auto"/>
          <w:szCs w:val="21"/>
          <w:highlight w:val="none"/>
        </w:rPr>
        <w:t>*5、</w:t>
      </w:r>
      <w:r>
        <w:rPr>
          <w:rFonts w:hint="eastAsia" w:ascii="宋体" w:hAnsi="宋体" w:cs="Arial"/>
          <w:b/>
          <w:bCs/>
          <w:color w:val="auto"/>
          <w:szCs w:val="21"/>
          <w:highlight w:val="none"/>
        </w:rPr>
        <w:t>投标人应在投标文件中提供书面承诺</w:t>
      </w:r>
      <w:r>
        <w:rPr>
          <w:rFonts w:hint="eastAsia" w:ascii="宋体" w:hAnsi="宋体"/>
          <w:b/>
          <w:color w:val="auto"/>
          <w:szCs w:val="21"/>
          <w:highlight w:val="none"/>
        </w:rPr>
        <w:t>：</w:t>
      </w:r>
      <w:r>
        <w:rPr>
          <w:rFonts w:hint="eastAsia" w:ascii="宋体" w:hAnsi="宋体" w:cs="宋体"/>
          <w:b/>
          <w:color w:val="auto"/>
          <w:kern w:val="0"/>
          <w:szCs w:val="21"/>
          <w:highlight w:val="none"/>
        </w:rPr>
        <w:t>中标</w:t>
      </w:r>
      <w:r>
        <w:rPr>
          <w:rFonts w:hint="eastAsia" w:ascii="宋体" w:hAnsi="宋体"/>
          <w:b/>
          <w:color w:val="auto"/>
          <w:szCs w:val="21"/>
          <w:highlight w:val="none"/>
        </w:rPr>
        <w:t>供应商不按采购合同履行的，采购单位有权与排位在</w:t>
      </w:r>
      <w:r>
        <w:rPr>
          <w:rFonts w:hint="eastAsia" w:ascii="宋体" w:hAnsi="宋体" w:cs="宋体"/>
          <w:b/>
          <w:color w:val="auto"/>
          <w:kern w:val="0"/>
          <w:szCs w:val="21"/>
          <w:highlight w:val="none"/>
        </w:rPr>
        <w:t>中标</w:t>
      </w:r>
      <w:r>
        <w:rPr>
          <w:rFonts w:hint="eastAsia" w:ascii="宋体" w:hAnsi="宋体"/>
          <w:b/>
          <w:color w:val="auto"/>
          <w:szCs w:val="21"/>
          <w:highlight w:val="none"/>
        </w:rPr>
        <w:t>供应商之后第一位的</w:t>
      </w:r>
      <w:r>
        <w:rPr>
          <w:rFonts w:hint="eastAsia" w:ascii="宋体" w:hAnsi="宋体" w:cs="宋体"/>
          <w:b/>
          <w:color w:val="auto"/>
          <w:kern w:val="0"/>
          <w:szCs w:val="21"/>
          <w:highlight w:val="none"/>
        </w:rPr>
        <w:t>中标</w:t>
      </w:r>
      <w:r>
        <w:rPr>
          <w:rFonts w:hint="eastAsia" w:ascii="宋体" w:hAnsi="宋体"/>
          <w:b/>
          <w:color w:val="auto"/>
          <w:szCs w:val="21"/>
          <w:highlight w:val="none"/>
        </w:rPr>
        <w:t>候选供应商签订采购合同，以此类推。并且，作为</w:t>
      </w:r>
      <w:r>
        <w:rPr>
          <w:rFonts w:hint="eastAsia" w:ascii="宋体" w:hAnsi="宋体" w:cs="宋体"/>
          <w:b/>
          <w:color w:val="auto"/>
          <w:kern w:val="0"/>
          <w:szCs w:val="21"/>
          <w:highlight w:val="none"/>
        </w:rPr>
        <w:t>中标</w:t>
      </w:r>
      <w:r>
        <w:rPr>
          <w:rFonts w:hint="eastAsia" w:ascii="宋体" w:hAnsi="宋体"/>
          <w:b/>
          <w:color w:val="auto"/>
          <w:szCs w:val="21"/>
          <w:highlight w:val="none"/>
        </w:rPr>
        <w:t>供应商之后第一位的</w:t>
      </w:r>
      <w:r>
        <w:rPr>
          <w:rFonts w:hint="eastAsia" w:ascii="宋体" w:hAnsi="宋体" w:cs="宋体"/>
          <w:b/>
          <w:color w:val="auto"/>
          <w:kern w:val="0"/>
          <w:szCs w:val="21"/>
          <w:highlight w:val="none"/>
        </w:rPr>
        <w:t>中标</w:t>
      </w:r>
      <w:r>
        <w:rPr>
          <w:rFonts w:hint="eastAsia" w:ascii="宋体" w:hAnsi="宋体"/>
          <w:b/>
          <w:color w:val="auto"/>
          <w:szCs w:val="21"/>
          <w:highlight w:val="none"/>
        </w:rPr>
        <w:t>供应商同意与采购单位在</w:t>
      </w:r>
      <w:r>
        <w:rPr>
          <w:rFonts w:hint="eastAsia" w:ascii="宋体" w:hAnsi="宋体" w:cs="宋体"/>
          <w:b/>
          <w:color w:val="auto"/>
          <w:kern w:val="0"/>
          <w:szCs w:val="21"/>
          <w:highlight w:val="none"/>
        </w:rPr>
        <w:t>中标</w:t>
      </w:r>
      <w:r>
        <w:rPr>
          <w:rFonts w:hint="eastAsia" w:ascii="宋体" w:hAnsi="宋体"/>
          <w:b/>
          <w:color w:val="auto"/>
          <w:szCs w:val="21"/>
          <w:highlight w:val="none"/>
        </w:rPr>
        <w:t>结果公示期结束后直接按其报价签订采购合同。</w:t>
      </w:r>
    </w:p>
    <w:p w14:paraId="0F604CC4">
      <w:pPr>
        <w:widowControl/>
        <w:spacing w:line="360" w:lineRule="auto"/>
        <w:ind w:firstLine="422" w:firstLineChars="200"/>
        <w:rPr>
          <w:rFonts w:hint="eastAsia" w:ascii="宋体" w:hAnsi="宋体"/>
          <w:b/>
          <w:color w:val="auto"/>
          <w:szCs w:val="21"/>
          <w:highlight w:val="none"/>
        </w:rPr>
      </w:pPr>
      <w:r>
        <w:rPr>
          <w:rFonts w:hint="eastAsia" w:ascii="宋体" w:hAnsi="宋体"/>
          <w:b/>
          <w:color w:val="auto"/>
          <w:szCs w:val="21"/>
          <w:highlight w:val="none"/>
        </w:rPr>
        <w:t>*6、</w:t>
      </w:r>
      <w:r>
        <w:rPr>
          <w:rFonts w:hint="eastAsia" w:ascii="宋体" w:hAnsi="宋体" w:cs="Arial"/>
          <w:b/>
          <w:bCs/>
          <w:color w:val="auto"/>
          <w:szCs w:val="21"/>
          <w:highlight w:val="none"/>
        </w:rPr>
        <w:t>投标人应在投标文件中提供书面承诺</w:t>
      </w:r>
      <w:r>
        <w:rPr>
          <w:rFonts w:hint="eastAsia" w:ascii="宋体" w:hAnsi="宋体" w:cs="Arial"/>
          <w:b/>
          <w:bCs/>
          <w:color w:val="auto"/>
          <w:szCs w:val="21"/>
          <w:highlight w:val="none"/>
          <w:lang w:eastAsia="zh-CN"/>
        </w:rPr>
        <w:t>：</w:t>
      </w:r>
      <w:r>
        <w:rPr>
          <w:rFonts w:hint="eastAsia" w:ascii="宋体" w:hAnsi="宋体"/>
          <w:b/>
          <w:color w:val="auto"/>
          <w:szCs w:val="21"/>
          <w:highlight w:val="none"/>
        </w:rPr>
        <w:t>若</w:t>
      </w:r>
      <w:r>
        <w:rPr>
          <w:rFonts w:hint="eastAsia" w:ascii="宋体" w:hAnsi="宋体" w:cs="宋体"/>
          <w:b/>
          <w:color w:val="auto"/>
          <w:kern w:val="0"/>
          <w:szCs w:val="21"/>
          <w:highlight w:val="none"/>
        </w:rPr>
        <w:t>中标</w:t>
      </w:r>
      <w:r>
        <w:rPr>
          <w:rFonts w:hint="eastAsia" w:ascii="宋体" w:hAnsi="宋体"/>
          <w:b/>
          <w:color w:val="auto"/>
          <w:szCs w:val="21"/>
          <w:highlight w:val="none"/>
        </w:rPr>
        <w:t>将无条件参与采购单位举办的壹年两次的政府大宗产品推介会，并且免费提供相应的</w:t>
      </w:r>
      <w:r>
        <w:rPr>
          <w:rFonts w:hint="eastAsia" w:ascii="宋体" w:hAnsi="宋体" w:cs="宋体"/>
          <w:b/>
          <w:color w:val="auto"/>
          <w:kern w:val="0"/>
          <w:szCs w:val="21"/>
          <w:highlight w:val="none"/>
        </w:rPr>
        <w:t>中标</w:t>
      </w:r>
      <w:r>
        <w:rPr>
          <w:rFonts w:hint="eastAsia" w:ascii="宋体" w:hAnsi="宋体"/>
          <w:b/>
          <w:color w:val="auto"/>
          <w:szCs w:val="21"/>
          <w:highlight w:val="none"/>
        </w:rPr>
        <w:t>机型作为样机展示，否则视为违约，投标人应按</w:t>
      </w:r>
      <w:r>
        <w:rPr>
          <w:rFonts w:hint="eastAsia" w:ascii="宋体" w:hAnsi="宋体" w:cs="宋体"/>
          <w:b/>
          <w:color w:val="auto"/>
          <w:kern w:val="0"/>
          <w:szCs w:val="21"/>
          <w:highlight w:val="none"/>
        </w:rPr>
        <w:t>中标</w:t>
      </w:r>
      <w:r>
        <w:rPr>
          <w:rFonts w:hint="eastAsia" w:ascii="宋体" w:hAnsi="宋体"/>
          <w:b/>
          <w:color w:val="auto"/>
          <w:szCs w:val="21"/>
          <w:highlight w:val="none"/>
        </w:rPr>
        <w:t>机型的</w:t>
      </w:r>
      <w:r>
        <w:rPr>
          <w:rFonts w:hint="eastAsia" w:ascii="宋体" w:hAnsi="宋体" w:cs="宋体"/>
          <w:b/>
          <w:color w:val="auto"/>
          <w:kern w:val="0"/>
          <w:szCs w:val="21"/>
          <w:highlight w:val="none"/>
        </w:rPr>
        <w:t>中标</w:t>
      </w:r>
      <w:r>
        <w:rPr>
          <w:rFonts w:hint="eastAsia" w:ascii="宋体" w:hAnsi="宋体"/>
          <w:b/>
          <w:color w:val="auto"/>
          <w:szCs w:val="21"/>
          <w:highlight w:val="none"/>
        </w:rPr>
        <w:t>单价向采购单位支付违约金，若</w:t>
      </w:r>
      <w:r>
        <w:rPr>
          <w:rFonts w:hint="eastAsia" w:ascii="宋体" w:hAnsi="宋体" w:cs="宋体"/>
          <w:b/>
          <w:color w:val="auto"/>
          <w:kern w:val="0"/>
          <w:szCs w:val="21"/>
          <w:highlight w:val="none"/>
        </w:rPr>
        <w:t>中标</w:t>
      </w:r>
      <w:r>
        <w:rPr>
          <w:rFonts w:hint="eastAsia" w:ascii="宋体" w:hAnsi="宋体"/>
          <w:b/>
          <w:color w:val="auto"/>
          <w:szCs w:val="21"/>
          <w:highlight w:val="none"/>
        </w:rPr>
        <w:t>供应商未向采购单位支付，则采购单位有权直接从供货及售后服务保证金款项中直接给予扣除。</w:t>
      </w:r>
    </w:p>
    <w:p w14:paraId="4B0EF9F1">
      <w:pPr>
        <w:spacing w:line="360" w:lineRule="auto"/>
        <w:ind w:firstLine="422" w:firstLineChars="200"/>
        <w:rPr>
          <w:rFonts w:hint="eastAsia" w:ascii="宋体" w:hAnsi="宋体"/>
          <w:b/>
          <w:color w:val="auto"/>
          <w:szCs w:val="21"/>
          <w:highlight w:val="none"/>
        </w:rPr>
      </w:pPr>
      <w:r>
        <w:rPr>
          <w:rFonts w:hint="eastAsia" w:ascii="宋体" w:hAnsi="宋体"/>
          <w:b/>
          <w:color w:val="auto"/>
          <w:szCs w:val="21"/>
          <w:highlight w:val="none"/>
        </w:rPr>
        <w:t>*7、</w:t>
      </w:r>
      <w:r>
        <w:rPr>
          <w:rFonts w:hint="eastAsia" w:ascii="宋体" w:hAnsi="宋体" w:cs="Arial"/>
          <w:b/>
          <w:bCs/>
          <w:color w:val="auto"/>
          <w:szCs w:val="21"/>
          <w:highlight w:val="none"/>
        </w:rPr>
        <w:t>投标人应在投标文件中提供书面承诺</w:t>
      </w:r>
      <w:r>
        <w:rPr>
          <w:rFonts w:hint="eastAsia" w:ascii="宋体" w:hAnsi="宋体" w:cs="Arial"/>
          <w:b/>
          <w:bCs/>
          <w:color w:val="auto"/>
          <w:szCs w:val="21"/>
          <w:highlight w:val="none"/>
          <w:lang w:eastAsia="zh-CN"/>
        </w:rPr>
        <w:t>：</w:t>
      </w:r>
      <w:r>
        <w:rPr>
          <w:rFonts w:hint="eastAsia" w:ascii="宋体" w:hAnsi="宋体"/>
          <w:b/>
          <w:color w:val="auto"/>
          <w:szCs w:val="21"/>
          <w:highlight w:val="none"/>
        </w:rPr>
        <w:t>若</w:t>
      </w:r>
      <w:r>
        <w:rPr>
          <w:rFonts w:hint="eastAsia" w:ascii="宋体" w:hAnsi="宋体" w:cs="宋体"/>
          <w:b/>
          <w:color w:val="auto"/>
          <w:kern w:val="0"/>
          <w:szCs w:val="21"/>
          <w:highlight w:val="none"/>
        </w:rPr>
        <w:t>中标</w:t>
      </w:r>
      <w:r>
        <w:rPr>
          <w:rFonts w:hint="eastAsia" w:ascii="宋体" w:hAnsi="宋体"/>
          <w:b/>
          <w:color w:val="auto"/>
          <w:szCs w:val="21"/>
          <w:highlight w:val="none"/>
        </w:rPr>
        <w:t>，将确保任何产品型号在供货期内能够满足采购单位的需求；若出现</w:t>
      </w:r>
      <w:r>
        <w:rPr>
          <w:rFonts w:hint="eastAsia" w:ascii="宋体" w:hAnsi="宋体" w:cs="宋体"/>
          <w:b/>
          <w:color w:val="auto"/>
          <w:kern w:val="0"/>
          <w:szCs w:val="21"/>
          <w:highlight w:val="none"/>
        </w:rPr>
        <w:t>中标</w:t>
      </w:r>
      <w:r>
        <w:rPr>
          <w:rFonts w:hint="eastAsia" w:ascii="宋体" w:hAnsi="宋体"/>
          <w:b/>
          <w:color w:val="auto"/>
          <w:szCs w:val="21"/>
          <w:highlight w:val="none"/>
        </w:rPr>
        <w:t>型号升级、变更或者停产的情况，视为违约。若在供货期内投标人有任何产品型号或配件升级变更，应至少提前一个月书面通知采购单位相关信息（包括其升级产品型号、部件及详细配置方案），经采购单位书面同意后方可按升级后的产品（或配件）供货，价格按</w:t>
      </w:r>
      <w:r>
        <w:rPr>
          <w:rFonts w:hint="eastAsia" w:ascii="宋体" w:hAnsi="宋体" w:cs="宋体"/>
          <w:b/>
          <w:color w:val="auto"/>
          <w:kern w:val="0"/>
          <w:szCs w:val="21"/>
          <w:highlight w:val="none"/>
        </w:rPr>
        <w:t>中标</w:t>
      </w:r>
      <w:r>
        <w:rPr>
          <w:rFonts w:hint="eastAsia" w:ascii="宋体" w:hAnsi="宋体"/>
          <w:b/>
          <w:color w:val="auto"/>
          <w:szCs w:val="21"/>
          <w:highlight w:val="none"/>
        </w:rPr>
        <w:t>单价执行，交货时间按原报价承诺的时间执行。同时，在采购单位同意之前，投标人仍应按原承诺《定货单》的要求供货。否则，按逾期交货处理。若在合同期内投标人有任何产品型号或配件停产且无法提供符合采购单位要求的升级型号或配件则视为严重违约，投标人应按每款机型20000元向采购单位缴纳违约金，采购单位有权单方面解除采购合同，没收履约保证金并且有权与投标人之后第一位的中标候选供应商签订合同。</w:t>
      </w:r>
    </w:p>
    <w:p w14:paraId="11DCA509">
      <w:pPr>
        <w:spacing w:line="360" w:lineRule="auto"/>
        <w:ind w:firstLine="422" w:firstLineChars="200"/>
        <w:rPr>
          <w:rFonts w:hint="eastAsia" w:ascii="宋体" w:hAnsi="宋体"/>
          <w:b/>
          <w:color w:val="auto"/>
          <w:szCs w:val="21"/>
          <w:highlight w:val="none"/>
        </w:rPr>
      </w:pPr>
      <w:r>
        <w:rPr>
          <w:rFonts w:hint="eastAsia" w:ascii="宋体" w:hAnsi="宋体" w:cs="宋体"/>
          <w:b/>
          <w:color w:val="auto"/>
          <w:kern w:val="0"/>
          <w:szCs w:val="21"/>
          <w:highlight w:val="none"/>
        </w:rPr>
        <w:t>*8、</w:t>
      </w:r>
      <w:r>
        <w:rPr>
          <w:rFonts w:hint="eastAsia" w:ascii="宋体" w:hAnsi="宋体" w:cs="Arial"/>
          <w:b/>
          <w:bCs/>
          <w:color w:val="auto"/>
          <w:szCs w:val="21"/>
          <w:highlight w:val="none"/>
        </w:rPr>
        <w:t>投标人应在投标文件中提供书面承诺</w:t>
      </w:r>
      <w:r>
        <w:rPr>
          <w:rFonts w:hint="eastAsia" w:ascii="宋体" w:hAnsi="宋体" w:cs="Arial"/>
          <w:b/>
          <w:bCs/>
          <w:color w:val="auto"/>
          <w:szCs w:val="21"/>
          <w:highlight w:val="none"/>
          <w:lang w:eastAsia="zh-CN"/>
        </w:rPr>
        <w:t>：</w:t>
      </w:r>
      <w:r>
        <w:rPr>
          <w:rFonts w:hint="eastAsia" w:ascii="宋体" w:hAnsi="宋体"/>
          <w:b/>
          <w:color w:val="auto"/>
          <w:szCs w:val="21"/>
          <w:highlight w:val="none"/>
        </w:rPr>
        <w:t>若</w:t>
      </w:r>
      <w:r>
        <w:rPr>
          <w:rFonts w:hint="eastAsia" w:ascii="宋体" w:hAnsi="宋体" w:cs="宋体"/>
          <w:b/>
          <w:color w:val="auto"/>
          <w:kern w:val="0"/>
          <w:szCs w:val="21"/>
          <w:highlight w:val="none"/>
        </w:rPr>
        <w:t>中标</w:t>
      </w:r>
      <w:r>
        <w:rPr>
          <w:rFonts w:hint="eastAsia" w:ascii="宋体" w:hAnsi="宋体"/>
          <w:b/>
          <w:color w:val="auto"/>
          <w:szCs w:val="21"/>
          <w:highlight w:val="none"/>
        </w:rPr>
        <w:t>，其与采购单位之间发生的一切费用均以人民币进行结算及支付；采购单位可以通过银行转账的形式进行支付。</w:t>
      </w:r>
    </w:p>
    <w:p w14:paraId="4410D338">
      <w:pPr>
        <w:spacing w:line="360" w:lineRule="auto"/>
        <w:ind w:firstLine="422" w:firstLineChars="200"/>
        <w:rPr>
          <w:rFonts w:hint="eastAsia" w:ascii="宋体" w:hAnsi="宋体" w:cs="宋体"/>
          <w:b/>
          <w:color w:val="auto"/>
          <w:kern w:val="0"/>
          <w:szCs w:val="21"/>
          <w:highlight w:val="none"/>
        </w:rPr>
      </w:pPr>
      <w:r>
        <w:rPr>
          <w:rFonts w:hint="eastAsia" w:ascii="宋体" w:hAnsi="宋体"/>
          <w:b/>
          <w:color w:val="auto"/>
          <w:szCs w:val="21"/>
          <w:highlight w:val="none"/>
        </w:rPr>
        <w:t>*9、</w:t>
      </w:r>
      <w:r>
        <w:rPr>
          <w:rFonts w:hint="eastAsia" w:ascii="宋体" w:hAnsi="宋体" w:cs="Arial"/>
          <w:b/>
          <w:bCs/>
          <w:color w:val="auto"/>
          <w:szCs w:val="21"/>
          <w:highlight w:val="none"/>
        </w:rPr>
        <w:t>投标人应在投标文件中提供书面承诺</w:t>
      </w:r>
      <w:r>
        <w:rPr>
          <w:rFonts w:hint="eastAsia" w:ascii="宋体" w:hAnsi="宋体" w:cs="Arial"/>
          <w:b/>
          <w:bCs/>
          <w:color w:val="auto"/>
          <w:szCs w:val="21"/>
          <w:highlight w:val="none"/>
          <w:lang w:eastAsia="zh-CN"/>
        </w:rPr>
        <w:t>：</w:t>
      </w:r>
      <w:r>
        <w:rPr>
          <w:rFonts w:hint="eastAsia" w:ascii="宋体" w:hAnsi="宋体" w:cs="宋体"/>
          <w:b/>
          <w:color w:val="auto"/>
          <w:kern w:val="0"/>
          <w:szCs w:val="21"/>
          <w:highlight w:val="none"/>
        </w:rPr>
        <w:t>如果中标，验收时（包括初验和最终验收），</w:t>
      </w:r>
      <w:r>
        <w:rPr>
          <w:rFonts w:hint="eastAsia" w:ascii="宋体" w:hAnsi="宋体"/>
          <w:b/>
          <w:color w:val="auto"/>
          <w:szCs w:val="21"/>
          <w:highlight w:val="none"/>
        </w:rPr>
        <w:t>投标</w:t>
      </w:r>
      <w:r>
        <w:rPr>
          <w:rFonts w:hint="eastAsia" w:ascii="宋体" w:hAnsi="宋体" w:cs="宋体"/>
          <w:b/>
          <w:color w:val="auto"/>
          <w:kern w:val="0"/>
          <w:szCs w:val="21"/>
          <w:highlight w:val="none"/>
        </w:rPr>
        <w:t>人必须派代表参加并确认验收结果，否则视为</w:t>
      </w:r>
      <w:r>
        <w:rPr>
          <w:rFonts w:hint="eastAsia" w:ascii="宋体" w:hAnsi="宋体"/>
          <w:b/>
          <w:color w:val="auto"/>
          <w:szCs w:val="21"/>
          <w:highlight w:val="none"/>
        </w:rPr>
        <w:t>投标</w:t>
      </w:r>
      <w:r>
        <w:rPr>
          <w:rFonts w:hint="eastAsia" w:ascii="宋体" w:hAnsi="宋体" w:cs="宋体"/>
          <w:b/>
          <w:color w:val="auto"/>
          <w:kern w:val="0"/>
          <w:szCs w:val="21"/>
          <w:highlight w:val="none"/>
        </w:rPr>
        <w:t>人对验收意见无异议。如该批次产品在最终验收时，出现开箱破损或者故障，无法进行最终验收的，</w:t>
      </w:r>
      <w:r>
        <w:rPr>
          <w:rFonts w:hint="eastAsia" w:ascii="宋体" w:hAnsi="宋体"/>
          <w:b/>
          <w:color w:val="auto"/>
          <w:szCs w:val="21"/>
          <w:highlight w:val="none"/>
        </w:rPr>
        <w:t>投标</w:t>
      </w:r>
      <w:r>
        <w:rPr>
          <w:rFonts w:hint="eastAsia" w:ascii="宋体" w:hAnsi="宋体" w:cs="宋体"/>
          <w:b/>
          <w:color w:val="auto"/>
          <w:kern w:val="0"/>
          <w:szCs w:val="21"/>
          <w:highlight w:val="none"/>
        </w:rPr>
        <w:t>人承诺无条件给予更换新机并保证最终验收的顺畅进行。若</w:t>
      </w:r>
      <w:r>
        <w:rPr>
          <w:rFonts w:hint="eastAsia" w:ascii="宋体" w:hAnsi="宋体"/>
          <w:b/>
          <w:color w:val="auto"/>
          <w:szCs w:val="21"/>
          <w:highlight w:val="none"/>
        </w:rPr>
        <w:t>投标</w:t>
      </w:r>
      <w:r>
        <w:rPr>
          <w:rFonts w:hint="eastAsia" w:ascii="宋体" w:hAnsi="宋体" w:cs="宋体"/>
          <w:b/>
          <w:color w:val="auto"/>
          <w:kern w:val="0"/>
          <w:szCs w:val="21"/>
          <w:highlight w:val="none"/>
        </w:rPr>
        <w:t>人不同意更换新机或者配合，采购单位有权直接于</w:t>
      </w:r>
      <w:r>
        <w:rPr>
          <w:rFonts w:hint="eastAsia" w:ascii="宋体" w:hAnsi="宋体"/>
          <w:b/>
          <w:color w:val="auto"/>
          <w:szCs w:val="21"/>
          <w:highlight w:val="none"/>
        </w:rPr>
        <w:t>投标</w:t>
      </w:r>
      <w:r>
        <w:rPr>
          <w:rFonts w:hint="eastAsia" w:ascii="宋体" w:hAnsi="宋体" w:cs="宋体"/>
          <w:b/>
          <w:color w:val="auto"/>
          <w:kern w:val="0"/>
          <w:szCs w:val="21"/>
          <w:highlight w:val="none"/>
        </w:rPr>
        <w:t>人的供货及售后服务保证金中扣除该批次产品及安装的等额费用。该条款可能造成的成本费用包含在</w:t>
      </w:r>
      <w:r>
        <w:rPr>
          <w:rFonts w:hint="eastAsia" w:ascii="宋体" w:hAnsi="宋体"/>
          <w:b/>
          <w:color w:val="auto"/>
          <w:szCs w:val="21"/>
          <w:highlight w:val="none"/>
        </w:rPr>
        <w:t>投标</w:t>
      </w:r>
      <w:r>
        <w:rPr>
          <w:rFonts w:hint="eastAsia" w:ascii="宋体" w:hAnsi="宋体" w:cs="宋体"/>
          <w:b/>
          <w:color w:val="auto"/>
          <w:kern w:val="0"/>
          <w:szCs w:val="21"/>
          <w:highlight w:val="none"/>
        </w:rPr>
        <w:t xml:space="preserve">人的产品报价中。 </w:t>
      </w:r>
    </w:p>
    <w:p w14:paraId="12D787BA">
      <w:pPr>
        <w:spacing w:line="360" w:lineRule="auto"/>
        <w:ind w:firstLine="422" w:firstLineChars="200"/>
        <w:rPr>
          <w:rFonts w:hint="eastAsia" w:ascii="宋体" w:hAnsi="宋体" w:cs="宋体"/>
          <w:b/>
          <w:color w:val="auto"/>
          <w:kern w:val="0"/>
          <w:szCs w:val="21"/>
          <w:highlight w:val="none"/>
        </w:rPr>
      </w:pPr>
      <w:r>
        <w:rPr>
          <w:rFonts w:hint="eastAsia" w:ascii="宋体" w:hAnsi="宋体" w:cs="宋体"/>
          <w:b/>
          <w:color w:val="auto"/>
          <w:kern w:val="0"/>
          <w:szCs w:val="21"/>
          <w:highlight w:val="none"/>
        </w:rPr>
        <w:t>*10、</w:t>
      </w:r>
      <w:r>
        <w:rPr>
          <w:rFonts w:hint="eastAsia" w:ascii="宋体" w:hAnsi="宋体" w:cs="Arial"/>
          <w:b/>
          <w:bCs/>
          <w:color w:val="auto"/>
          <w:szCs w:val="21"/>
          <w:highlight w:val="none"/>
        </w:rPr>
        <w:t>投标人应在投标文件中提供书面承诺</w:t>
      </w:r>
      <w:r>
        <w:rPr>
          <w:rFonts w:hint="eastAsia" w:ascii="宋体" w:hAnsi="宋体" w:cs="Arial"/>
          <w:b/>
          <w:bCs/>
          <w:color w:val="auto"/>
          <w:szCs w:val="21"/>
          <w:highlight w:val="none"/>
          <w:lang w:eastAsia="zh-CN"/>
        </w:rPr>
        <w:t>：</w:t>
      </w:r>
      <w:r>
        <w:rPr>
          <w:rFonts w:hint="eastAsia" w:ascii="宋体" w:hAnsi="宋体" w:cs="宋体"/>
          <w:b/>
          <w:color w:val="auto"/>
          <w:kern w:val="0"/>
          <w:szCs w:val="21"/>
          <w:highlight w:val="none"/>
        </w:rPr>
        <w:t>如果中标，因投标人产品给采购单位造成的客诉，若投标人在接到采购单位通知后3个日历日内无法解决客诉，采购单位有权自行解决客诉，并直接于投标人的供货及售后服务保证金中扣除解决客诉所产生的费用。该条款可能造成的成本费用包含在投标人的产品报价中。</w:t>
      </w:r>
    </w:p>
    <w:p w14:paraId="2EBD1573">
      <w:pPr>
        <w:spacing w:line="360" w:lineRule="auto"/>
        <w:ind w:firstLine="422" w:firstLineChars="200"/>
        <w:rPr>
          <w:rFonts w:hint="eastAsia" w:ascii="宋体" w:hAnsi="宋体" w:eastAsia="宋体" w:cs="宋体"/>
          <w:color w:val="auto"/>
          <w:sz w:val="24"/>
          <w:szCs w:val="24"/>
          <w:highlight w:val="none"/>
        </w:rPr>
      </w:pPr>
      <w:r>
        <w:rPr>
          <w:rFonts w:hint="eastAsia" w:ascii="宋体" w:hAnsi="宋体" w:cs="宋体"/>
          <w:b/>
          <w:color w:val="auto"/>
          <w:kern w:val="0"/>
          <w:szCs w:val="21"/>
          <w:highlight w:val="none"/>
        </w:rPr>
        <w:t>*11、</w:t>
      </w:r>
      <w:r>
        <w:rPr>
          <w:rFonts w:hint="eastAsia" w:ascii="宋体" w:hAnsi="宋体" w:cs="Arial"/>
          <w:b/>
          <w:bCs/>
          <w:color w:val="auto"/>
          <w:szCs w:val="21"/>
          <w:highlight w:val="none"/>
        </w:rPr>
        <w:t>投标人应在投标文件中提供书面承诺</w:t>
      </w:r>
      <w:r>
        <w:rPr>
          <w:rFonts w:hint="eastAsia" w:ascii="宋体" w:hAnsi="宋体" w:cs="Arial"/>
          <w:b/>
          <w:bCs/>
          <w:color w:val="auto"/>
          <w:szCs w:val="21"/>
          <w:highlight w:val="none"/>
          <w:lang w:eastAsia="zh-CN"/>
        </w:rPr>
        <w:t>：</w:t>
      </w:r>
      <w:r>
        <w:rPr>
          <w:rFonts w:hint="eastAsia" w:ascii="宋体" w:hAnsi="宋体" w:cs="宋体"/>
          <w:b/>
          <w:color w:val="auto"/>
          <w:kern w:val="0"/>
          <w:szCs w:val="21"/>
          <w:highlight w:val="none"/>
        </w:rPr>
        <w:t>如若中标，合同期内，若投标人出现投标型号及相关规格参数与所投标品牌的国内或国外官方网站体现该投标型号对应规格参数的网页信息不一致的，采购单位有权单方面解除合同，没收全部供货及售后服务保证金并且有权与第二位中标候选供应商签订合同，同时拒绝中标供应商参与下一年度大宗针式打印机项目的投标。</w:t>
      </w:r>
    </w:p>
    <w:p w14:paraId="3DB57922">
      <w:pPr>
        <w:tabs>
          <w:tab w:val="left" w:pos="5130"/>
        </w:tabs>
        <w:spacing w:line="360" w:lineRule="auto"/>
        <w:ind w:firstLine="480" w:firstLineChars="200"/>
        <w:rPr>
          <w:rFonts w:hint="eastAsia" w:ascii="宋体" w:hAnsi="宋体" w:eastAsia="宋体" w:cs="宋体"/>
          <w:color w:val="auto"/>
          <w:sz w:val="24"/>
          <w:szCs w:val="24"/>
          <w:highlight w:val="none"/>
        </w:rPr>
      </w:pPr>
    </w:p>
    <w:p w14:paraId="595E9E88">
      <w:pPr>
        <w:tabs>
          <w:tab w:val="left" w:pos="5130"/>
        </w:tabs>
        <w:spacing w:line="360" w:lineRule="auto"/>
        <w:ind w:firstLine="480" w:firstLineChars="200"/>
        <w:rPr>
          <w:rFonts w:hint="eastAsia" w:ascii="宋体" w:hAnsi="宋体" w:eastAsia="宋体" w:cs="宋体"/>
          <w:color w:val="auto"/>
          <w:sz w:val="24"/>
          <w:szCs w:val="24"/>
          <w:highlight w:val="none"/>
        </w:rPr>
      </w:pPr>
    </w:p>
    <w:p w14:paraId="1B6D410D">
      <w:pPr>
        <w:tabs>
          <w:tab w:val="left" w:pos="5130"/>
        </w:tabs>
        <w:spacing w:line="360" w:lineRule="auto"/>
        <w:ind w:firstLine="480" w:firstLineChars="200"/>
        <w:rPr>
          <w:rFonts w:hint="eastAsia" w:ascii="宋体" w:hAnsi="宋体" w:eastAsia="宋体" w:cs="宋体"/>
          <w:color w:val="auto"/>
          <w:sz w:val="24"/>
          <w:szCs w:val="24"/>
          <w:highlight w:val="none"/>
        </w:rPr>
      </w:pPr>
    </w:p>
    <w:p w14:paraId="69F38A9E">
      <w:pPr>
        <w:spacing w:line="360" w:lineRule="auto"/>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附表：</w:t>
      </w:r>
    </w:p>
    <w:p w14:paraId="241CE02D">
      <w:pPr>
        <w:spacing w:line="360" w:lineRule="auto"/>
        <w:ind w:firstLine="630" w:firstLineChars="196"/>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技术规格及商务响应表</w:t>
      </w:r>
    </w:p>
    <w:p w14:paraId="4ED3C91D">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（投标人应针对下表中体现的招标要求及“投标人须知前附表2:资格性、符合性检查表”内容逐条说明投标响应情况，并附上相应资料，投标响应对应的页码以及偏离说明）</w:t>
      </w:r>
    </w:p>
    <w:p w14:paraId="385FDC3C">
      <w:pPr>
        <w:spacing w:line="360" w:lineRule="auto"/>
        <w:rPr>
          <w:rFonts w:hint="eastAsia" w:ascii="宋体" w:hAnsi="宋体" w:eastAsia="宋体" w:cs="宋体"/>
          <w:b/>
          <w:color w:val="auto"/>
          <w:sz w:val="24"/>
          <w:szCs w:val="24"/>
          <w:highlight w:val="none"/>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707"/>
        <w:gridCol w:w="709"/>
        <w:gridCol w:w="5386"/>
        <w:gridCol w:w="779"/>
        <w:gridCol w:w="935"/>
        <w:gridCol w:w="775"/>
      </w:tblGrid>
      <w:tr w14:paraId="5FD37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62" w:type="dxa"/>
            <w:gridSpan w:val="4"/>
            <w:tcBorders>
              <w:top w:val="single" w:color="auto" w:sz="4" w:space="0"/>
              <w:left w:val="single" w:color="auto" w:sz="4" w:space="0"/>
              <w:bottom w:val="single" w:color="auto" w:sz="4" w:space="0"/>
              <w:right w:val="single" w:color="auto" w:sz="4" w:space="0"/>
            </w:tcBorders>
            <w:noWrap w:val="0"/>
            <w:vAlign w:val="center"/>
          </w:tcPr>
          <w:p w14:paraId="2438562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2489" w:type="dxa"/>
            <w:gridSpan w:val="3"/>
            <w:tcBorders>
              <w:top w:val="single" w:color="auto" w:sz="4" w:space="0"/>
              <w:left w:val="single" w:color="auto" w:sz="4" w:space="0"/>
              <w:bottom w:val="single" w:color="auto" w:sz="4" w:space="0"/>
              <w:right w:val="single" w:color="auto" w:sz="4" w:space="0"/>
            </w:tcBorders>
            <w:noWrap w:val="0"/>
            <w:vAlign w:val="center"/>
          </w:tcPr>
          <w:p w14:paraId="3A274A1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291DC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tcBorders>
              <w:top w:val="single" w:color="auto" w:sz="4" w:space="0"/>
              <w:left w:val="single" w:color="auto" w:sz="4" w:space="0"/>
              <w:bottom w:val="single" w:color="auto" w:sz="4" w:space="0"/>
              <w:right w:val="single" w:color="auto" w:sz="4" w:space="0"/>
            </w:tcBorders>
            <w:noWrap w:val="0"/>
            <w:vAlign w:val="center"/>
          </w:tcPr>
          <w:p w14:paraId="4644C95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707" w:type="dxa"/>
            <w:tcBorders>
              <w:top w:val="single" w:color="auto" w:sz="4" w:space="0"/>
              <w:left w:val="single" w:color="auto" w:sz="4" w:space="0"/>
              <w:bottom w:val="single" w:color="auto" w:sz="4" w:space="0"/>
              <w:right w:val="single" w:color="auto" w:sz="4" w:space="0"/>
            </w:tcBorders>
            <w:noWrap w:val="0"/>
            <w:vAlign w:val="center"/>
          </w:tcPr>
          <w:p w14:paraId="52226E5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w:t>
            </w:r>
          </w:p>
          <w:p w14:paraId="1A782F8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p>
        </w:tc>
        <w:tc>
          <w:tcPr>
            <w:tcW w:w="709" w:type="dxa"/>
            <w:tcBorders>
              <w:top w:val="single" w:color="auto" w:sz="4" w:space="0"/>
              <w:left w:val="single" w:color="auto" w:sz="4" w:space="0"/>
              <w:bottom w:val="single" w:color="auto" w:sz="4" w:space="0"/>
              <w:right w:val="single" w:color="auto" w:sz="4" w:space="0"/>
            </w:tcBorders>
            <w:noWrap w:val="0"/>
            <w:vAlign w:val="center"/>
          </w:tcPr>
          <w:p w14:paraId="7E56E10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w:t>
            </w:r>
          </w:p>
          <w:p w14:paraId="5EB5CCB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条目号</w:t>
            </w:r>
          </w:p>
        </w:tc>
        <w:tc>
          <w:tcPr>
            <w:tcW w:w="5386" w:type="dxa"/>
            <w:tcBorders>
              <w:top w:val="single" w:color="auto" w:sz="4" w:space="0"/>
              <w:left w:val="single" w:color="auto" w:sz="4" w:space="0"/>
              <w:bottom w:val="single" w:color="auto" w:sz="4" w:space="0"/>
              <w:right w:val="single" w:color="auto" w:sz="4" w:space="0"/>
            </w:tcBorders>
            <w:noWrap w:val="0"/>
            <w:vAlign w:val="center"/>
          </w:tcPr>
          <w:p w14:paraId="16A4482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779" w:type="dxa"/>
            <w:tcBorders>
              <w:top w:val="single" w:color="auto" w:sz="4" w:space="0"/>
              <w:left w:val="single" w:color="auto" w:sz="4" w:space="0"/>
              <w:bottom w:val="single" w:color="auto" w:sz="4" w:space="0"/>
              <w:right w:val="single" w:color="auto" w:sz="4" w:space="0"/>
            </w:tcBorders>
            <w:noWrap w:val="0"/>
            <w:vAlign w:val="center"/>
          </w:tcPr>
          <w:p w14:paraId="2103D82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127FDCC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775" w:type="dxa"/>
            <w:tcBorders>
              <w:top w:val="single" w:color="auto" w:sz="4" w:space="0"/>
              <w:left w:val="single" w:color="auto" w:sz="4" w:space="0"/>
              <w:bottom w:val="single" w:color="auto" w:sz="4" w:space="0"/>
              <w:right w:val="single" w:color="auto" w:sz="4" w:space="0"/>
            </w:tcBorders>
            <w:noWrap w:val="0"/>
            <w:vAlign w:val="center"/>
          </w:tcPr>
          <w:p w14:paraId="36C8A20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711D6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restart"/>
            <w:tcBorders>
              <w:top w:val="single" w:color="auto" w:sz="4" w:space="0"/>
              <w:left w:val="single" w:color="auto" w:sz="4" w:space="0"/>
              <w:right w:val="single" w:color="auto" w:sz="4" w:space="0"/>
            </w:tcBorders>
            <w:noWrap w:val="0"/>
            <w:vAlign w:val="center"/>
          </w:tcPr>
          <w:p w14:paraId="6B2164D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restart"/>
            <w:tcBorders>
              <w:top w:val="single" w:color="auto" w:sz="4" w:space="0"/>
              <w:left w:val="single" w:color="auto" w:sz="4" w:space="0"/>
              <w:right w:val="single" w:color="auto" w:sz="4" w:space="0"/>
            </w:tcBorders>
            <w:noWrap w:val="0"/>
            <w:vAlign w:val="center"/>
          </w:tcPr>
          <w:p w14:paraId="234CD1F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61EC98B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708028E8">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0EC18D5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FBC618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51C936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21B41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78D12D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CA0D2F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7A18BD5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5CBF6F52">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5A3CD79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6D1002D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69F0A4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10D5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512ED03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794E11D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6EBF356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2D1FC849">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4957109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55C7EA0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42870C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30E1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09B0CE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F7E9FC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1752AE6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7802751C">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144BCA4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6F66C54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01FC3F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865A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D1921E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0173D28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0525A4B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75E5B0F7">
            <w:pPr>
              <w:keepNext w:val="0"/>
              <w:keepLines w:val="0"/>
              <w:suppressLineNumbers w:val="0"/>
              <w:tabs>
                <w:tab w:val="left" w:pos="624"/>
                <w:tab w:val="left" w:pos="2988"/>
                <w:tab w:val="left" w:pos="7849"/>
              </w:tabs>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5CD8BD1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5315DB0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13BDAA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5C0C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70FAA7D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055828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7A00CEC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5742C9E0">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09DD099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52C8453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7ADD37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D814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13276EA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D1064E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0148B5D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51F9EF70">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60EF67B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631DA8B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DFE6E4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6C79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5FEE931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3F2153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1B7F39A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14893F51">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7D48078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2FBF66E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DA50E8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0293A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1B96074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02E181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7E1D09E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0353615E">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6E1FD2B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0E84BCB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0A19A6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5CBC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365387C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5C1F220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5DED345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2EB33BB8">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59619B1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5EEE1D5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7F3574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72D8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5D8C404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FE4D99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369319C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3A166650">
            <w:pPr>
              <w:keepNext w:val="0"/>
              <w:keepLines w:val="0"/>
              <w:suppressLineNumbers w:val="0"/>
              <w:tabs>
                <w:tab w:val="left" w:pos="992"/>
                <w:tab w:val="left" w:pos="1080"/>
              </w:tabs>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1A7664C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539EFC7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FFE106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30B2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0E17E45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5FDC3F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153292E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1D738EA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233B643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0B391A6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0BA2D1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06AAB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75F0D15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E0DD0C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63DF395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21542FB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5F6EE90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7226534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4E78F5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02BA5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155FA67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F12E18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25EB438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2212BF04">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39497AC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975DD2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7A06E8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BDEE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AEE5A9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782305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6ED885D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23DA4750">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3731D89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5F6B39D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DCDDE3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B792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CB548D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2A9C22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0EB920F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237D3ED8">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28ED5A1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D83AC9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394320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4251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79975BC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2FB6BB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28E61A3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52DA485B">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368CF9D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0B54869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FCF175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3DD5F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4BE346C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7D47C12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1FFDA25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470E0FCE">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36DCC02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40DDDB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04A654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D3C8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302D8EB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07978F1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6274CCD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34C42E0E">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3B9666F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0663D56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B431D5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92C5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F8B24B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7ACF61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21D222E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4767442B">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457B6E3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1E651C5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505DADC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3845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503A032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15175E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2936305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5A555FF3">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05E04B2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55C5B61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736A2C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D384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6A0664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AE39F2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1A700E3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1DE97458">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6B30902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168E76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2BFD1F9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B542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50B208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576576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4A1C983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48C95D26">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06CC8F6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128E8AA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8A38A7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279EB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3F80450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1FF9BD5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32F3CBD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4BDE55FA">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2086C92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75B72F1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11CFB2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67FA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DB4B0B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4023108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74FD77A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761E4B14">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1838781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90ED44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E6EA6B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1FF52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34FBF13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548918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041C763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26228C9C">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0D46347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DF43F3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EF3B9E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E970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7C293F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39AA2E8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3FB7168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5FDC608D">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4511AEB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2A733C8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F76A0B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00864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57EA65E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52661CD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149E800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280156F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207C657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2B65BB5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4D3141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2DA5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814D4D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2DB49A8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7050CF5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097C11F6">
            <w:pPr>
              <w:keepNext w:val="0"/>
              <w:keepLines w:val="0"/>
              <w:suppressLineNumbers w:val="0"/>
              <w:tabs>
                <w:tab w:val="left" w:pos="1080"/>
              </w:tabs>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0B0CD09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0F924C4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1FC13DD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0A0A3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79E86BA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0623AC6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tcBorders>
              <w:top w:val="single" w:color="auto" w:sz="4" w:space="0"/>
              <w:left w:val="single" w:color="auto" w:sz="4" w:space="0"/>
              <w:bottom w:val="single" w:color="auto" w:sz="4" w:space="0"/>
              <w:right w:val="single" w:color="auto" w:sz="4" w:space="0"/>
            </w:tcBorders>
            <w:noWrap w:val="0"/>
            <w:vAlign w:val="center"/>
          </w:tcPr>
          <w:p w14:paraId="5E22A5A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center"/>
          </w:tcPr>
          <w:p w14:paraId="4ED1B1E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760050E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61F22AA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713E6C8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52457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A0817B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D75D5E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restart"/>
            <w:tcBorders>
              <w:top w:val="single" w:color="auto" w:sz="4" w:space="0"/>
              <w:left w:val="single" w:color="auto" w:sz="4" w:space="0"/>
              <w:right w:val="single" w:color="auto" w:sz="4" w:space="0"/>
            </w:tcBorders>
            <w:noWrap w:val="0"/>
            <w:vAlign w:val="center"/>
          </w:tcPr>
          <w:p w14:paraId="4670BA4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00333B9C">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604CDC4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D59010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4187862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25A65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59DC192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5651642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70A9487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444FBA83">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35A9A09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3F97B52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3F57C03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7E0B1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6B9834C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0B08295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49A8FEC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12DFD394">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040269F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5A97913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13F93C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26BB9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7F7321F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DC2C54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734D0B2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3221B41E">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15DBC86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6A81884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37ED1F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04406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right w:val="single" w:color="auto" w:sz="4" w:space="0"/>
            </w:tcBorders>
            <w:noWrap w:val="0"/>
            <w:vAlign w:val="center"/>
          </w:tcPr>
          <w:p w14:paraId="243356E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right w:val="single" w:color="auto" w:sz="4" w:space="0"/>
            </w:tcBorders>
            <w:noWrap w:val="0"/>
            <w:vAlign w:val="center"/>
          </w:tcPr>
          <w:p w14:paraId="6917F02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right w:val="single" w:color="auto" w:sz="4" w:space="0"/>
            </w:tcBorders>
            <w:noWrap w:val="0"/>
            <w:vAlign w:val="center"/>
          </w:tcPr>
          <w:p w14:paraId="6E74797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0F5848AD">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20DAEF0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B95706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017BDB2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0664D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0" w:type="dxa"/>
            <w:vMerge w:val="continue"/>
            <w:tcBorders>
              <w:left w:val="single" w:color="auto" w:sz="4" w:space="0"/>
              <w:bottom w:val="single" w:color="auto" w:sz="4" w:space="0"/>
              <w:right w:val="single" w:color="auto" w:sz="4" w:space="0"/>
            </w:tcBorders>
            <w:noWrap w:val="0"/>
            <w:vAlign w:val="center"/>
          </w:tcPr>
          <w:p w14:paraId="65F5B53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07" w:type="dxa"/>
            <w:vMerge w:val="continue"/>
            <w:tcBorders>
              <w:left w:val="single" w:color="auto" w:sz="4" w:space="0"/>
              <w:bottom w:val="single" w:color="auto" w:sz="4" w:space="0"/>
              <w:right w:val="single" w:color="auto" w:sz="4" w:space="0"/>
            </w:tcBorders>
            <w:noWrap w:val="0"/>
            <w:vAlign w:val="center"/>
          </w:tcPr>
          <w:p w14:paraId="23DDECE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09" w:type="dxa"/>
            <w:vMerge w:val="continue"/>
            <w:tcBorders>
              <w:left w:val="single" w:color="auto" w:sz="4" w:space="0"/>
              <w:bottom w:val="single" w:color="auto" w:sz="4" w:space="0"/>
              <w:right w:val="single" w:color="auto" w:sz="4" w:space="0"/>
            </w:tcBorders>
            <w:noWrap w:val="0"/>
            <w:vAlign w:val="center"/>
          </w:tcPr>
          <w:p w14:paraId="6BD2CA8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5386" w:type="dxa"/>
            <w:tcBorders>
              <w:top w:val="single" w:color="auto" w:sz="4" w:space="0"/>
              <w:left w:val="single" w:color="auto" w:sz="4" w:space="0"/>
              <w:bottom w:val="single" w:color="auto" w:sz="4" w:space="0"/>
              <w:right w:val="single" w:color="auto" w:sz="4" w:space="0"/>
            </w:tcBorders>
            <w:noWrap w:val="0"/>
            <w:vAlign w:val="top"/>
          </w:tcPr>
          <w:p w14:paraId="5B83A6E4">
            <w:pPr>
              <w:pStyle w:val="6"/>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779" w:type="dxa"/>
            <w:tcBorders>
              <w:top w:val="single" w:color="auto" w:sz="4" w:space="0"/>
              <w:left w:val="single" w:color="auto" w:sz="4" w:space="0"/>
              <w:bottom w:val="single" w:color="auto" w:sz="4" w:space="0"/>
              <w:right w:val="single" w:color="auto" w:sz="4" w:space="0"/>
            </w:tcBorders>
            <w:noWrap w:val="0"/>
            <w:vAlign w:val="center"/>
          </w:tcPr>
          <w:p w14:paraId="3245D10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935" w:type="dxa"/>
            <w:tcBorders>
              <w:top w:val="single" w:color="auto" w:sz="4" w:space="0"/>
              <w:left w:val="single" w:color="auto" w:sz="4" w:space="0"/>
              <w:bottom w:val="single" w:color="auto" w:sz="4" w:space="0"/>
              <w:right w:val="single" w:color="auto" w:sz="4" w:space="0"/>
            </w:tcBorders>
            <w:noWrap w:val="0"/>
            <w:vAlign w:val="center"/>
          </w:tcPr>
          <w:p w14:paraId="47BF804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75" w:type="dxa"/>
            <w:tcBorders>
              <w:top w:val="single" w:color="auto" w:sz="4" w:space="0"/>
              <w:left w:val="single" w:color="auto" w:sz="4" w:space="0"/>
              <w:bottom w:val="single" w:color="auto" w:sz="4" w:space="0"/>
              <w:right w:val="single" w:color="auto" w:sz="4" w:space="0"/>
            </w:tcBorders>
            <w:noWrap w:val="0"/>
            <w:vAlign w:val="center"/>
          </w:tcPr>
          <w:p w14:paraId="6D16D98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bl>
    <w:p w14:paraId="29243A1C">
      <w:pPr>
        <w:tabs>
          <w:tab w:val="left" w:pos="5130"/>
        </w:tabs>
        <w:spacing w:line="360" w:lineRule="auto"/>
        <w:ind w:firstLine="480" w:firstLineChars="200"/>
        <w:rPr>
          <w:rFonts w:hint="eastAsia" w:ascii="宋体" w:hAnsi="宋体" w:eastAsia="宋体" w:cs="宋体"/>
          <w:color w:val="auto"/>
          <w:sz w:val="24"/>
          <w:szCs w:val="24"/>
          <w:highlight w:val="none"/>
        </w:rPr>
      </w:pPr>
    </w:p>
    <w:p w14:paraId="5D2CAB58">
      <w:pPr>
        <w:tabs>
          <w:tab w:val="left" w:pos="5130"/>
        </w:tabs>
        <w:spacing w:line="360" w:lineRule="auto"/>
        <w:ind w:firstLine="480" w:firstLineChars="200"/>
        <w:rPr>
          <w:rFonts w:hint="eastAsia" w:ascii="宋体" w:hAnsi="宋体" w:eastAsia="宋体" w:cs="宋体"/>
          <w:color w:val="auto"/>
          <w:sz w:val="24"/>
          <w:szCs w:val="24"/>
          <w:highlight w:val="none"/>
        </w:rPr>
      </w:pPr>
    </w:p>
    <w:p w14:paraId="4D62EA6D">
      <w:pPr>
        <w:spacing w:line="360" w:lineRule="auto"/>
        <w:rPr>
          <w:rFonts w:hint="eastAsia" w:ascii="宋体" w:hAnsi="宋体" w:eastAsia="宋体" w:cs="宋体"/>
          <w:color w:val="auto"/>
          <w:sz w:val="24"/>
          <w:szCs w:val="24"/>
          <w:highlight w:val="none"/>
        </w:rPr>
      </w:pPr>
    </w:p>
    <w:p w14:paraId="5372781A">
      <w:pPr>
        <w:spacing w:line="360" w:lineRule="auto"/>
        <w:rPr>
          <w:rFonts w:hint="eastAsia" w:ascii="宋体" w:hAnsi="宋体" w:eastAsia="宋体" w:cs="宋体"/>
          <w:b/>
          <w:bCs/>
          <w:color w:val="auto"/>
          <w:sz w:val="24"/>
          <w:szCs w:val="24"/>
          <w:highlight w:val="none"/>
        </w:rPr>
        <w:sectPr>
          <w:headerReference r:id="rId8" w:type="default"/>
          <w:footerReference r:id="rId9" w:type="default"/>
          <w:pgSz w:w="11906" w:h="16838"/>
          <w:pgMar w:top="851" w:right="851" w:bottom="851" w:left="1134" w:header="567" w:footer="567" w:gutter="0"/>
          <w:pgNumType w:start="1"/>
          <w:cols w:space="720" w:num="1"/>
          <w:docGrid w:linePitch="312" w:charSpace="0"/>
        </w:sectPr>
      </w:pPr>
    </w:p>
    <w:p w14:paraId="4CA9A9A5">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bCs/>
          <w:color w:val="auto"/>
          <w:sz w:val="32"/>
          <w:szCs w:val="32"/>
          <w:highlight w:val="none"/>
        </w:rPr>
        <w:t>第四章</w:t>
      </w:r>
      <w:r>
        <w:rPr>
          <w:rFonts w:hint="eastAsia" w:ascii="宋体" w:hAnsi="宋体" w:eastAsia="宋体" w:cs="宋体"/>
          <w:b/>
          <w:color w:val="auto"/>
          <w:sz w:val="32"/>
          <w:szCs w:val="32"/>
          <w:highlight w:val="none"/>
        </w:rPr>
        <w:t xml:space="preserve">  </w:t>
      </w:r>
      <w:r>
        <w:rPr>
          <w:rFonts w:hint="default" w:ascii="宋体" w:hAnsi="宋体" w:cs="宋体"/>
          <w:b/>
          <w:color w:val="auto"/>
          <w:sz w:val="32"/>
          <w:szCs w:val="32"/>
          <w:highlight w:val="none"/>
        </w:rPr>
        <w:t>大宗</w:t>
      </w:r>
      <w:r>
        <w:rPr>
          <w:rFonts w:hint="eastAsia" w:ascii="宋体" w:hAnsi="宋体" w:eastAsia="宋体" w:cs="宋体"/>
          <w:b/>
          <w:color w:val="auto"/>
          <w:sz w:val="32"/>
          <w:szCs w:val="32"/>
          <w:highlight w:val="none"/>
        </w:rPr>
        <w:t>采购合同</w:t>
      </w:r>
    </w:p>
    <w:tbl>
      <w:tblPr>
        <w:tblStyle w:val="14"/>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9"/>
      </w:tblGrid>
      <w:tr w14:paraId="2A8E2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8099" w:type="dxa"/>
            <w:noWrap w:val="0"/>
            <w:vAlign w:val="top"/>
          </w:tcPr>
          <w:p w14:paraId="576F582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2DAB4DE4">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本格式条款仅作为双方签订合同的参考，为阐明各方的权利和义务，经协商可增加新的条款、修改相关条款， 但不得与招标文件、投标文件的实质性内容相背离。</w:t>
            </w:r>
          </w:p>
        </w:tc>
      </w:tr>
    </w:tbl>
    <w:p w14:paraId="6FED39EE">
      <w:pPr>
        <w:spacing w:line="360" w:lineRule="auto"/>
        <w:jc w:val="center"/>
        <w:rPr>
          <w:rFonts w:ascii="宋体" w:hAnsi="宋体" w:eastAsia="宋体"/>
          <w:b/>
          <w:bCs/>
          <w:color w:val="auto"/>
          <w:sz w:val="32"/>
          <w:szCs w:val="32"/>
          <w:highlight w:val="none"/>
        </w:rPr>
      </w:pPr>
      <w:bookmarkStart w:id="0" w:name="htmc"/>
      <w:bookmarkEnd w:id="0"/>
      <w:r>
        <w:rPr>
          <w:rFonts w:hint="eastAsia" w:ascii="宋体" w:hAnsi="宋体" w:eastAsia="宋体"/>
          <w:b/>
          <w:bCs/>
          <w:color w:val="auto"/>
          <w:sz w:val="32"/>
          <w:szCs w:val="32"/>
          <w:highlight w:val="none"/>
          <w:u w:val="single"/>
        </w:rPr>
        <w:t xml:space="preserve"> </w:t>
      </w:r>
      <w:r>
        <w:rPr>
          <w:rFonts w:ascii="宋体" w:hAnsi="宋体" w:eastAsia="宋体"/>
          <w:b/>
          <w:bCs/>
          <w:color w:val="auto"/>
          <w:sz w:val="32"/>
          <w:szCs w:val="32"/>
          <w:highlight w:val="none"/>
          <w:u w:val="single"/>
        </w:rPr>
        <w:t xml:space="preserve">     </w:t>
      </w:r>
      <w:r>
        <w:rPr>
          <w:rFonts w:hint="eastAsia" w:ascii="宋体" w:hAnsi="宋体" w:eastAsia="宋体"/>
          <w:b/>
          <w:bCs/>
          <w:color w:val="auto"/>
          <w:sz w:val="32"/>
          <w:szCs w:val="32"/>
          <w:highlight w:val="none"/>
        </w:rPr>
        <w:t>大宗采购合同</w:t>
      </w:r>
    </w:p>
    <w:p w14:paraId="715A584E">
      <w:pPr>
        <w:spacing w:line="360" w:lineRule="auto"/>
        <w:ind w:left="-284"/>
        <w:jc w:val="center"/>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                                   合同编号：</w:t>
      </w:r>
    </w:p>
    <w:p w14:paraId="32EB7BCE">
      <w:pPr>
        <w:adjustRightInd w:val="0"/>
        <w:snapToGrid w:val="0"/>
        <w:spacing w:line="360" w:lineRule="auto"/>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买方：厦门万翔网络商务有限公司                </w:t>
      </w:r>
    </w:p>
    <w:p w14:paraId="2E7BE270">
      <w:pPr>
        <w:adjustRightInd w:val="0"/>
        <w:snapToGrid w:val="0"/>
        <w:spacing w:line="360" w:lineRule="auto"/>
        <w:jc w:val="left"/>
        <w:rPr>
          <w:rFonts w:ascii="宋体" w:hAnsi="宋体" w:eastAsia="宋体"/>
          <w:color w:val="auto"/>
          <w:sz w:val="24"/>
          <w:szCs w:val="24"/>
          <w:highlight w:val="none"/>
        </w:rPr>
      </w:pPr>
      <w:r>
        <w:rPr>
          <w:rFonts w:hint="eastAsia" w:ascii="宋体" w:hAnsi="宋体" w:eastAsia="宋体"/>
          <w:color w:val="auto"/>
          <w:sz w:val="24"/>
          <w:szCs w:val="24"/>
          <w:highlight w:val="none"/>
        </w:rPr>
        <w:t>卖方：</w:t>
      </w:r>
    </w:p>
    <w:p w14:paraId="56976BEB">
      <w:pPr>
        <w:adjustRightInd w:val="0"/>
        <w:snapToGrid w:val="0"/>
        <w:spacing w:line="360" w:lineRule="auto"/>
        <w:ind w:firstLine="480"/>
        <w:rPr>
          <w:rFonts w:ascii="宋体" w:hAnsi="宋体" w:eastAsia="宋体"/>
          <w:color w:val="auto"/>
          <w:sz w:val="24"/>
          <w:szCs w:val="24"/>
          <w:highlight w:val="none"/>
        </w:rPr>
      </w:pPr>
      <w:r>
        <w:rPr>
          <w:rFonts w:hint="eastAsia" w:ascii="宋体" w:hAnsi="宋体" w:eastAsia="宋体"/>
          <w:color w:val="auto"/>
          <w:sz w:val="24"/>
          <w:szCs w:val="24"/>
          <w:highlight w:val="none"/>
        </w:rPr>
        <w:t>根据买方对</w:t>
      </w:r>
      <w:r>
        <w:rPr>
          <w:rFonts w:hint="eastAsia" w:ascii="宋体" w:hAnsi="宋体" w:eastAsia="宋体"/>
          <w:color w:val="auto"/>
          <w:sz w:val="24"/>
          <w:szCs w:val="24"/>
          <w:highlight w:val="none"/>
          <w:u w:val="single"/>
        </w:rPr>
        <w:t xml:space="preserve"> </w:t>
      </w:r>
      <w:r>
        <w:rPr>
          <w:rFonts w:hint="eastAsia" w:ascii="宋体" w:hAnsi="宋体" w:eastAsia="宋体" w:cs="宋体"/>
          <w:color w:val="auto"/>
          <w:sz w:val="24"/>
          <w:highlight w:val="none"/>
          <w:u w:val="single"/>
        </w:rPr>
        <w:t>针式打印机</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rPr>
        <w:t>进行采购（招标/项目编号：</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rPr>
        <w:t>）的采购结果，现依照招标/采购文件、投标/报价文件及有关法律、法规、规章规定的内容，双方达成如下协议：</w:t>
      </w:r>
    </w:p>
    <w:p w14:paraId="6417BE06">
      <w:pPr>
        <w:adjustRightInd w:val="0"/>
        <w:snapToGrid w:val="0"/>
        <w:spacing w:line="360" w:lineRule="auto"/>
        <w:rPr>
          <w:rFonts w:ascii="宋体" w:hAnsi="宋体" w:eastAsia="宋体"/>
          <w:color w:val="auto"/>
          <w:sz w:val="24"/>
          <w:szCs w:val="24"/>
          <w:highlight w:val="none"/>
        </w:rPr>
      </w:pPr>
      <w:r>
        <w:rPr>
          <w:rFonts w:hint="eastAsia" w:ascii="宋体" w:hAnsi="宋体" w:eastAsia="宋体"/>
          <w:b/>
          <w:color w:val="auto"/>
          <w:sz w:val="24"/>
          <w:szCs w:val="24"/>
          <w:highlight w:val="none"/>
        </w:rPr>
        <w:t>1、合同标的物和合同价格</w:t>
      </w:r>
    </w:p>
    <w:tbl>
      <w:tblPr>
        <w:tblStyle w:val="14"/>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802"/>
        <w:gridCol w:w="1418"/>
        <w:gridCol w:w="1701"/>
        <w:gridCol w:w="1319"/>
        <w:gridCol w:w="1560"/>
      </w:tblGrid>
      <w:tr w14:paraId="6D7A2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60" w:type="dxa"/>
            <w:noWrap w:val="0"/>
            <w:vAlign w:val="center"/>
          </w:tcPr>
          <w:p w14:paraId="49AC5DFD">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产品名称</w:t>
            </w:r>
          </w:p>
        </w:tc>
        <w:tc>
          <w:tcPr>
            <w:tcW w:w="1802" w:type="dxa"/>
            <w:noWrap w:val="0"/>
            <w:vAlign w:val="center"/>
          </w:tcPr>
          <w:p w14:paraId="74AA97D6">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规格型号</w:t>
            </w:r>
          </w:p>
        </w:tc>
        <w:tc>
          <w:tcPr>
            <w:tcW w:w="1418" w:type="dxa"/>
            <w:noWrap w:val="0"/>
            <w:vAlign w:val="center"/>
          </w:tcPr>
          <w:p w14:paraId="7332D50E">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制造商</w:t>
            </w:r>
          </w:p>
        </w:tc>
        <w:tc>
          <w:tcPr>
            <w:tcW w:w="1701" w:type="dxa"/>
            <w:noWrap w:val="0"/>
            <w:vAlign w:val="center"/>
          </w:tcPr>
          <w:p w14:paraId="6405E297">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单价（元/台）</w:t>
            </w:r>
          </w:p>
        </w:tc>
        <w:tc>
          <w:tcPr>
            <w:tcW w:w="1319" w:type="dxa"/>
            <w:noWrap w:val="0"/>
            <w:vAlign w:val="center"/>
          </w:tcPr>
          <w:p w14:paraId="0217FF8A">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数量（台）</w:t>
            </w:r>
          </w:p>
        </w:tc>
        <w:tc>
          <w:tcPr>
            <w:tcW w:w="1560" w:type="dxa"/>
            <w:noWrap w:val="0"/>
            <w:vAlign w:val="center"/>
          </w:tcPr>
          <w:p w14:paraId="5852E51E">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总金额（元）</w:t>
            </w:r>
          </w:p>
        </w:tc>
      </w:tr>
      <w:tr w14:paraId="7C462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60" w:type="dxa"/>
            <w:noWrap w:val="0"/>
            <w:vAlign w:val="center"/>
          </w:tcPr>
          <w:p w14:paraId="5ECAA6BC">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802" w:type="dxa"/>
            <w:noWrap w:val="0"/>
            <w:vAlign w:val="center"/>
          </w:tcPr>
          <w:p w14:paraId="390FA384">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418" w:type="dxa"/>
            <w:noWrap w:val="0"/>
            <w:vAlign w:val="center"/>
          </w:tcPr>
          <w:p w14:paraId="1C0AB4FC">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Cs w:val="21"/>
                <w:highlight w:val="none"/>
              </w:rPr>
            </w:pPr>
          </w:p>
        </w:tc>
        <w:tc>
          <w:tcPr>
            <w:tcW w:w="1701" w:type="dxa"/>
            <w:noWrap w:val="0"/>
            <w:vAlign w:val="center"/>
          </w:tcPr>
          <w:p w14:paraId="7F1E74A4">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319" w:type="dxa"/>
            <w:noWrap w:val="0"/>
            <w:vAlign w:val="center"/>
          </w:tcPr>
          <w:p w14:paraId="2FB65E2E">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noWrap w:val="0"/>
            <w:vAlign w:val="center"/>
          </w:tcPr>
          <w:p w14:paraId="615A37ED">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r>
      <w:tr w14:paraId="3D576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60" w:type="dxa"/>
            <w:noWrap w:val="0"/>
            <w:vAlign w:val="center"/>
          </w:tcPr>
          <w:p w14:paraId="43C3D4D6">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802" w:type="dxa"/>
            <w:noWrap w:val="0"/>
            <w:vAlign w:val="center"/>
          </w:tcPr>
          <w:p w14:paraId="51933B53">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418" w:type="dxa"/>
            <w:noWrap w:val="0"/>
            <w:vAlign w:val="center"/>
          </w:tcPr>
          <w:p w14:paraId="746F56C9">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701" w:type="dxa"/>
            <w:noWrap w:val="0"/>
            <w:vAlign w:val="center"/>
          </w:tcPr>
          <w:p w14:paraId="60719DCB">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319" w:type="dxa"/>
            <w:noWrap w:val="0"/>
            <w:vAlign w:val="center"/>
          </w:tcPr>
          <w:p w14:paraId="110DD9E4">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noWrap w:val="0"/>
            <w:vAlign w:val="center"/>
          </w:tcPr>
          <w:p w14:paraId="49692CB6">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r>
      <w:tr w14:paraId="538FF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481" w:type="dxa"/>
            <w:gridSpan w:val="4"/>
            <w:noWrap w:val="0"/>
            <w:vAlign w:val="center"/>
          </w:tcPr>
          <w:p w14:paraId="5377902D">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合计：</w:t>
            </w:r>
          </w:p>
        </w:tc>
        <w:tc>
          <w:tcPr>
            <w:tcW w:w="1319" w:type="dxa"/>
            <w:noWrap w:val="0"/>
            <w:vAlign w:val="center"/>
          </w:tcPr>
          <w:p w14:paraId="0532837F">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noWrap w:val="0"/>
            <w:vAlign w:val="bottom"/>
          </w:tcPr>
          <w:p w14:paraId="39B412E4">
            <w:pPr>
              <w:keepNext w:val="0"/>
              <w:keepLines w:val="0"/>
              <w:widowControl/>
              <w:suppressLineNumbers w:val="0"/>
              <w:adjustRightInd w:val="0"/>
              <w:snapToGrid w:val="0"/>
              <w:spacing w:before="0" w:beforeAutospacing="0" w:after="0" w:afterAutospacing="0" w:line="360" w:lineRule="auto"/>
              <w:ind w:left="0" w:right="0"/>
              <w:jc w:val="center"/>
              <w:textAlignment w:val="bottom"/>
              <w:rPr>
                <w:rFonts w:hint="default" w:ascii="宋体" w:hAnsi="宋体" w:eastAsia="宋体" w:cs="等线"/>
                <w:color w:val="auto"/>
                <w:sz w:val="22"/>
                <w:highlight w:val="none"/>
              </w:rPr>
            </w:pPr>
          </w:p>
        </w:tc>
      </w:tr>
      <w:tr w14:paraId="6D49A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60" w:type="dxa"/>
            <w:gridSpan w:val="6"/>
            <w:noWrap w:val="0"/>
            <w:vAlign w:val="center"/>
          </w:tcPr>
          <w:p w14:paraId="4CCCF6E8">
            <w:pPr>
              <w:keepNext w:val="0"/>
              <w:keepLines w:val="0"/>
              <w:widowControl/>
              <w:suppressLineNumbers w:val="0"/>
              <w:adjustRightInd w:val="0"/>
              <w:snapToGrid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合同总价： </w:t>
            </w:r>
            <w:r>
              <w:rPr>
                <w:rFonts w:hint="default"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rPr>
              <w:t>元整</w:t>
            </w:r>
          </w:p>
        </w:tc>
      </w:tr>
      <w:tr w14:paraId="2E1F5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360" w:type="dxa"/>
            <w:gridSpan w:val="6"/>
            <w:noWrap w:val="0"/>
            <w:vAlign w:val="center"/>
          </w:tcPr>
          <w:p w14:paraId="654CD5DA">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备注：</w:t>
            </w:r>
          </w:p>
          <w:p w14:paraId="69A6E27E">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合同单价为综合单价，为经最终验收合格并交付使用所有可能发生的费用，包括设备费、运送至买方指定地点的运输费（含二次配送费用、仓储操作费）、装卸费、保险费、采购保管、安装调试、产品检验检测、税收以及售后服务等一切费用。上表数量为暂定数量，买方可根据实际需求情况对各规格型号的产品数量进行调整，买方将按实际最终验收合格的数量和综合单价进行结算。</w:t>
            </w:r>
          </w:p>
          <w:p w14:paraId="48FC569A">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2、买方有权向</w:t>
            </w:r>
            <w:r>
              <w:rPr>
                <w:rFonts w:hint="eastAsia" w:ascii="宋体" w:hAnsi="宋体" w:eastAsia="宋体" w:cs="宋体"/>
                <w:color w:val="auto"/>
                <w:kern w:val="0"/>
                <w:sz w:val="24"/>
                <w:szCs w:val="24"/>
                <w:highlight w:val="none"/>
                <w:u w:val="single"/>
              </w:rPr>
              <w:t>厦门市机关事业单位</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福建省内其他终端用户</w:t>
            </w:r>
            <w:r>
              <w:rPr>
                <w:rFonts w:hint="eastAsia" w:ascii="宋体" w:hAnsi="宋体" w:eastAsia="宋体" w:cs="宋体"/>
                <w:color w:val="auto"/>
                <w:kern w:val="0"/>
                <w:sz w:val="24"/>
                <w:szCs w:val="24"/>
                <w:highlight w:val="none"/>
              </w:rPr>
              <w:t>（以上统称最终用户）</w:t>
            </w:r>
            <w:r>
              <w:rPr>
                <w:rFonts w:hint="eastAsia" w:ascii="宋体" w:hAnsi="宋体" w:eastAsia="宋体" w:cs="宋体"/>
                <w:color w:val="auto"/>
                <w:kern w:val="0"/>
                <w:sz w:val="22"/>
                <w:highlight w:val="none"/>
              </w:rPr>
              <w:t>（请根据项目类型选择）</w:t>
            </w:r>
            <w:r>
              <w:rPr>
                <w:rFonts w:hint="eastAsia" w:ascii="宋体" w:hAnsi="宋体" w:eastAsia="宋体" w:cs="宋体"/>
                <w:color w:val="auto"/>
                <w:kern w:val="0"/>
                <w:sz w:val="24"/>
                <w:szCs w:val="24"/>
                <w:highlight w:val="none"/>
              </w:rPr>
              <w:t>进行供货，卖方须提供相应的安装及售后服务保障。</w:t>
            </w:r>
          </w:p>
          <w:p w14:paraId="343D2EC6">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3、具体技术参数详见附件1。</w:t>
            </w:r>
          </w:p>
          <w:p w14:paraId="3F2BAB76">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default"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、合同期内，每三个月，买方可根据市场行情变化，与卖方就产品单价进行重新谈判，价格不得高于本合同约定的单价。</w:t>
            </w:r>
          </w:p>
          <w:p w14:paraId="78F200D2">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color w:val="auto"/>
                <w:kern w:val="0"/>
                <w:sz w:val="24"/>
                <w:szCs w:val="24"/>
                <w:highlight w:val="none"/>
              </w:rPr>
            </w:pPr>
            <w:r>
              <w:rPr>
                <w:rFonts w:hint="default"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highlight w:val="none"/>
                <w:lang w:bidi="ar"/>
              </w:rPr>
              <w:t>合同期内，遇卖方下调合同相关型号货物价格，卖方应在2个工作日内将新的价格以书面形式告知买方，经买方确认后按最新价格进行供货并结算。一旦买方发现合同结算单价高于其它同类销售渠道或主流网站（京东、苏宁易购、国美、天猫）等的常规销售价格，买方有权要求卖方按照主流网站的最低价格再下浮</w:t>
            </w:r>
            <w:r>
              <w:rPr>
                <w:rFonts w:hint="eastAsia" w:ascii="宋体" w:hAnsi="宋体" w:eastAsia="宋体" w:cs="宋体"/>
                <w:color w:val="auto"/>
                <w:sz w:val="24"/>
                <w:highlight w:val="none"/>
                <w:u w:val="single"/>
                <w:lang w:bidi="ar"/>
              </w:rPr>
              <w:t>1.5%</w:t>
            </w:r>
            <w:r>
              <w:rPr>
                <w:rFonts w:hint="eastAsia" w:ascii="宋体" w:hAnsi="宋体" w:eastAsia="宋体" w:cs="宋体"/>
                <w:color w:val="auto"/>
                <w:sz w:val="24"/>
                <w:highlight w:val="none"/>
                <w:lang w:bidi="ar"/>
              </w:rPr>
              <w:t>作为合同货物的结算价格，如卖方拒绝调整或双方就价格调整无法协商一致的，卖方应按逾期天数，每日承担相当于履约保证金0.5%的违约金，同时买方有权终止本合同，不视为买方违约。</w:t>
            </w:r>
          </w:p>
          <w:p w14:paraId="70BFBB06">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color w:val="auto"/>
                <w:sz w:val="24"/>
                <w:highlight w:val="none"/>
              </w:rPr>
            </w:pPr>
            <w:r>
              <w:rPr>
                <w:rFonts w:hint="default"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rPr>
              <w:t>、本合同有效期：</w:t>
            </w:r>
            <w:r>
              <w:rPr>
                <w:rFonts w:hint="eastAsia" w:ascii="宋体" w:hAnsi="宋体" w:eastAsia="宋体" w:cs="宋体"/>
                <w:color w:val="auto"/>
                <w:kern w:val="0"/>
                <w:sz w:val="24"/>
                <w:szCs w:val="24"/>
                <w:highlight w:val="none"/>
                <w:u w:val="single"/>
              </w:rPr>
              <w:t xml:space="preserve"> </w:t>
            </w:r>
            <w:r>
              <w:rPr>
                <w:rFonts w:hint="default" w:ascii="宋体" w:hAnsi="宋体" w:eastAsia="宋体" w:cs="宋体"/>
                <w:color w:val="auto"/>
                <w:kern w:val="0"/>
                <w:sz w:val="24"/>
                <w:szCs w:val="24"/>
                <w:highlight w:val="none"/>
                <w:u w:val="single"/>
              </w:rPr>
              <w:t xml:space="preserve">2 </w:t>
            </w:r>
            <w:r>
              <w:rPr>
                <w:rFonts w:hint="eastAsia" w:ascii="宋体" w:hAnsi="宋体" w:eastAsia="宋体" w:cs="宋体"/>
                <w:color w:val="auto"/>
                <w:kern w:val="0"/>
                <w:sz w:val="24"/>
                <w:szCs w:val="24"/>
                <w:highlight w:val="none"/>
              </w:rPr>
              <w:t>年，自</w:t>
            </w:r>
            <w:r>
              <w:rPr>
                <w:rFonts w:hint="default" w:ascii="宋体" w:hAnsi="宋体" w:eastAsia="宋体" w:cs="宋体"/>
                <w:color w:val="auto"/>
                <w:kern w:val="0"/>
                <w:sz w:val="24"/>
                <w:szCs w:val="24"/>
                <w:highlight w:val="none"/>
                <w:u w:val="single"/>
              </w:rPr>
              <w:t>202</w:t>
            </w:r>
            <w:r>
              <w:rPr>
                <w:rFonts w:hint="eastAsia" w:ascii="宋体" w:hAnsi="宋体" w:eastAsia="宋体" w:cs="宋体"/>
                <w:color w:val="auto"/>
                <w:kern w:val="0"/>
                <w:sz w:val="24"/>
                <w:szCs w:val="24"/>
                <w:highlight w:val="none"/>
                <w:u w:val="single"/>
                <w:lang w:val="en-US" w:eastAsia="zh-CN"/>
              </w:rPr>
              <w:t>4</w:t>
            </w:r>
            <w:r>
              <w:rPr>
                <w:rFonts w:hint="eastAsia" w:ascii="宋体" w:hAnsi="宋体" w:eastAsia="宋体" w:cs="宋体"/>
                <w:color w:val="auto"/>
                <w:kern w:val="0"/>
                <w:sz w:val="24"/>
                <w:szCs w:val="24"/>
                <w:highlight w:val="none"/>
              </w:rPr>
              <w:t>年</w:t>
            </w:r>
            <w:r>
              <w:rPr>
                <w:rFonts w:hint="default"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default"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日至</w:t>
            </w:r>
            <w:r>
              <w:rPr>
                <w:rFonts w:hint="default" w:ascii="宋体" w:hAnsi="宋体" w:eastAsia="宋体" w:cs="宋体"/>
                <w:color w:val="auto"/>
                <w:kern w:val="0"/>
                <w:sz w:val="24"/>
                <w:szCs w:val="24"/>
                <w:highlight w:val="none"/>
                <w:u w:val="single"/>
              </w:rPr>
              <w:t>202</w:t>
            </w:r>
            <w:r>
              <w:rPr>
                <w:rFonts w:hint="default" w:ascii="宋体" w:hAnsi="宋体" w:cs="宋体"/>
                <w:color w:val="auto"/>
                <w:kern w:val="0"/>
                <w:sz w:val="24"/>
                <w:szCs w:val="24"/>
                <w:highlight w:val="none"/>
                <w:u w:val="single"/>
              </w:rPr>
              <w:t>6</w:t>
            </w:r>
            <w:r>
              <w:rPr>
                <w:rFonts w:hint="default"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年</w:t>
            </w:r>
            <w:r>
              <w:rPr>
                <w:rFonts w:hint="default"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default"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w:t>
            </w:r>
            <w:r>
              <w:rPr>
                <w:rFonts w:hint="eastAsia" w:ascii="宋体" w:hAnsi="宋体" w:eastAsia="宋体"/>
                <w:color w:val="auto"/>
                <w:kern w:val="0"/>
                <w:sz w:val="24"/>
                <w:szCs w:val="24"/>
                <w:highlight w:val="none"/>
              </w:rPr>
              <w:t>若合同到期之日下一期采购合同尚未生效，本合同自动顺延至下一期新的合同生效之日止。</w:t>
            </w:r>
          </w:p>
        </w:tc>
      </w:tr>
    </w:tbl>
    <w:p w14:paraId="2C80579E">
      <w:pPr>
        <w:adjustRightInd w:val="0"/>
        <w:snapToGrid w:val="0"/>
        <w:spacing w:before="156" w:beforeLines="50" w:line="360" w:lineRule="auto"/>
        <w:rPr>
          <w:rFonts w:ascii="宋体" w:hAnsi="宋体" w:eastAsia="宋体"/>
          <w:b/>
          <w:color w:val="auto"/>
          <w:sz w:val="24"/>
          <w:szCs w:val="24"/>
          <w:highlight w:val="none"/>
        </w:rPr>
      </w:pPr>
      <w:r>
        <w:rPr>
          <w:rFonts w:hint="eastAsia" w:ascii="宋体" w:hAnsi="宋体" w:eastAsia="宋体"/>
          <w:b/>
          <w:color w:val="auto"/>
          <w:sz w:val="24"/>
          <w:szCs w:val="24"/>
          <w:highlight w:val="none"/>
        </w:rPr>
        <w:t>2、交货方式</w:t>
      </w:r>
    </w:p>
    <w:p w14:paraId="0144E504">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2.1卖方按买方要求分批次供货。卖方送货至买方指定地点。</w:t>
      </w:r>
    </w:p>
    <w:p w14:paraId="3D736AA8">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2.1.1买方向卖方提交《定货单》的方式包括：合同书《定货单》形式、电子数据《定货单》形式等。以上所有《定货单》均适用于本合同。</w:t>
      </w:r>
    </w:p>
    <w:p w14:paraId="04BD78A6">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2.1.2合同书《定货单》形式，指买方向卖方提交加盖买方有效印章的《定货单》。</w:t>
      </w:r>
    </w:p>
    <w:p w14:paraId="19C8B111">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2.1.3电子数据《定货单》形式：指买方通过指定的邮箱、微信等方式向卖方提交加盖买方有效印章的《定货单》扫描件。</w:t>
      </w:r>
      <w:r>
        <w:rPr>
          <w:rFonts w:hint="eastAsia" w:ascii="宋体" w:hAnsi="宋体" w:eastAsia="宋体"/>
          <w:color w:val="auto"/>
          <w:sz w:val="24"/>
          <w:szCs w:val="24"/>
          <w:highlight w:val="none"/>
        </w:rPr>
        <w:t>（请根据实际情况详细填写信息）</w:t>
      </w:r>
    </w:p>
    <w:tbl>
      <w:tblPr>
        <w:tblStyle w:val="14"/>
        <w:tblW w:w="8344" w:type="dxa"/>
        <w:tblInd w:w="299" w:type="dxa"/>
        <w:tblLayout w:type="autofit"/>
        <w:tblCellMar>
          <w:top w:w="0" w:type="dxa"/>
          <w:left w:w="0" w:type="dxa"/>
          <w:bottom w:w="0" w:type="dxa"/>
          <w:right w:w="0" w:type="dxa"/>
        </w:tblCellMar>
      </w:tblPr>
      <w:tblGrid>
        <w:gridCol w:w="2782"/>
        <w:gridCol w:w="3012"/>
        <w:gridCol w:w="2550"/>
      </w:tblGrid>
      <w:tr w14:paraId="6AF5A4EA">
        <w:tblPrEx>
          <w:tblCellMar>
            <w:top w:w="0" w:type="dxa"/>
            <w:left w:w="0" w:type="dxa"/>
            <w:bottom w:w="0" w:type="dxa"/>
            <w:right w:w="0" w:type="dxa"/>
          </w:tblCellMar>
        </w:tblPrEx>
        <w:trPr>
          <w:trHeight w:val="325" w:hRule="atLeast"/>
        </w:trPr>
        <w:tc>
          <w:tcPr>
            <w:tcW w:w="2782" w:type="dxa"/>
            <w:tcBorders>
              <w:top w:val="single" w:color="auto" w:sz="8" w:space="0"/>
              <w:left w:val="single" w:color="auto" w:sz="8" w:space="0"/>
              <w:bottom w:val="single" w:color="auto" w:sz="8" w:space="0"/>
              <w:right w:val="single" w:color="auto" w:sz="8" w:space="0"/>
            </w:tcBorders>
            <w:noWrap w:val="0"/>
            <w:tcMar>
              <w:top w:w="15" w:type="dxa"/>
              <w:left w:w="15" w:type="dxa"/>
              <w:bottom w:w="0" w:type="dxa"/>
              <w:right w:w="15" w:type="dxa"/>
            </w:tcMar>
            <w:vAlign w:val="top"/>
          </w:tcPr>
          <w:p w14:paraId="2A09A05C">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bCs/>
                <w:color w:val="auto"/>
                <w:sz w:val="24"/>
                <w:highlight w:val="none"/>
              </w:rPr>
            </w:pPr>
            <w:r>
              <w:rPr>
                <w:rFonts w:hint="eastAsia" w:ascii="宋体" w:hAnsi="宋体" w:eastAsia="宋体" w:cs="宋体"/>
                <w:bCs/>
                <w:color w:val="auto"/>
                <w:sz w:val="24"/>
                <w:highlight w:val="none"/>
                <w:lang w:bidi="ar"/>
              </w:rPr>
              <w:t>类型</w:t>
            </w:r>
          </w:p>
        </w:tc>
        <w:tc>
          <w:tcPr>
            <w:tcW w:w="3012" w:type="dxa"/>
            <w:tcBorders>
              <w:top w:val="single" w:color="auto" w:sz="8" w:space="0"/>
              <w:left w:val="nil"/>
              <w:bottom w:val="single" w:color="auto" w:sz="8" w:space="0"/>
              <w:right w:val="single" w:color="auto" w:sz="8" w:space="0"/>
            </w:tcBorders>
            <w:noWrap w:val="0"/>
            <w:tcMar>
              <w:top w:w="15" w:type="dxa"/>
              <w:left w:w="15" w:type="dxa"/>
              <w:bottom w:w="0" w:type="dxa"/>
              <w:right w:w="15" w:type="dxa"/>
            </w:tcMar>
            <w:vAlign w:val="top"/>
          </w:tcPr>
          <w:p w14:paraId="397FE4BE">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bCs/>
                <w:color w:val="auto"/>
                <w:sz w:val="24"/>
                <w:highlight w:val="none"/>
              </w:rPr>
            </w:pPr>
            <w:r>
              <w:rPr>
                <w:rFonts w:hint="eastAsia" w:ascii="宋体" w:hAnsi="宋体" w:eastAsia="宋体" w:cs="宋体"/>
                <w:bCs/>
                <w:color w:val="auto"/>
                <w:sz w:val="24"/>
                <w:highlight w:val="none"/>
                <w:lang w:bidi="ar"/>
              </w:rPr>
              <w:t>卖方</w:t>
            </w:r>
          </w:p>
        </w:tc>
        <w:tc>
          <w:tcPr>
            <w:tcW w:w="2550" w:type="dxa"/>
            <w:tcBorders>
              <w:top w:val="single" w:color="auto" w:sz="8" w:space="0"/>
              <w:left w:val="nil"/>
              <w:bottom w:val="single" w:color="auto" w:sz="8" w:space="0"/>
              <w:right w:val="single" w:color="auto" w:sz="8" w:space="0"/>
            </w:tcBorders>
            <w:noWrap w:val="0"/>
            <w:tcMar>
              <w:top w:w="15" w:type="dxa"/>
              <w:left w:w="15" w:type="dxa"/>
              <w:bottom w:w="0" w:type="dxa"/>
              <w:right w:w="15" w:type="dxa"/>
            </w:tcMar>
            <w:vAlign w:val="top"/>
          </w:tcPr>
          <w:p w14:paraId="7AB759D3">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bCs/>
                <w:color w:val="auto"/>
                <w:sz w:val="24"/>
                <w:highlight w:val="none"/>
              </w:rPr>
            </w:pPr>
            <w:r>
              <w:rPr>
                <w:rFonts w:hint="eastAsia" w:ascii="宋体" w:hAnsi="宋体" w:eastAsia="宋体" w:cs="宋体"/>
                <w:bCs/>
                <w:color w:val="auto"/>
                <w:sz w:val="24"/>
                <w:highlight w:val="none"/>
                <w:lang w:bidi="ar"/>
              </w:rPr>
              <w:t>买方</w:t>
            </w:r>
          </w:p>
        </w:tc>
      </w:tr>
      <w:tr w14:paraId="6A60A113">
        <w:tblPrEx>
          <w:tblCellMar>
            <w:top w:w="0" w:type="dxa"/>
            <w:left w:w="0" w:type="dxa"/>
            <w:bottom w:w="0" w:type="dxa"/>
            <w:right w:w="0" w:type="dxa"/>
          </w:tblCellMar>
        </w:tblPrEx>
        <w:trPr>
          <w:trHeight w:val="325" w:hRule="atLeast"/>
        </w:trPr>
        <w:tc>
          <w:tcPr>
            <w:tcW w:w="2782" w:type="dxa"/>
            <w:tcBorders>
              <w:top w:val="nil"/>
              <w:left w:val="single" w:color="auto" w:sz="8" w:space="0"/>
              <w:bottom w:val="single" w:color="auto" w:sz="8" w:space="0"/>
              <w:right w:val="single" w:color="auto" w:sz="8" w:space="0"/>
            </w:tcBorders>
            <w:noWrap w:val="0"/>
            <w:tcMar>
              <w:top w:w="15" w:type="dxa"/>
              <w:left w:w="15" w:type="dxa"/>
              <w:bottom w:w="0" w:type="dxa"/>
              <w:right w:w="15" w:type="dxa"/>
            </w:tcMar>
            <w:vAlign w:val="top"/>
          </w:tcPr>
          <w:p w14:paraId="0A0432D8">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bCs/>
                <w:color w:val="auto"/>
                <w:sz w:val="24"/>
                <w:highlight w:val="none"/>
              </w:rPr>
            </w:pPr>
            <w:r>
              <w:rPr>
                <w:rFonts w:hint="eastAsia" w:ascii="宋体" w:hAnsi="宋体" w:eastAsia="宋体" w:cs="宋体"/>
                <w:bCs/>
                <w:color w:val="auto"/>
                <w:sz w:val="24"/>
                <w:highlight w:val="none"/>
                <w:lang w:bidi="ar"/>
              </w:rPr>
              <w:t>联系人</w:t>
            </w:r>
          </w:p>
        </w:tc>
        <w:tc>
          <w:tcPr>
            <w:tcW w:w="3012" w:type="dxa"/>
            <w:tcBorders>
              <w:top w:val="nil"/>
              <w:left w:val="nil"/>
              <w:bottom w:val="single" w:color="auto" w:sz="8" w:space="0"/>
              <w:right w:val="single" w:color="auto" w:sz="8" w:space="0"/>
            </w:tcBorders>
            <w:noWrap w:val="0"/>
            <w:tcMar>
              <w:top w:w="15" w:type="dxa"/>
              <w:left w:w="15" w:type="dxa"/>
              <w:bottom w:w="0" w:type="dxa"/>
              <w:right w:w="15" w:type="dxa"/>
            </w:tcMar>
            <w:vAlign w:val="center"/>
          </w:tcPr>
          <w:p w14:paraId="2051B68A">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c>
          <w:tcPr>
            <w:tcW w:w="2550" w:type="dxa"/>
            <w:tcBorders>
              <w:top w:val="nil"/>
              <w:left w:val="nil"/>
              <w:bottom w:val="single" w:color="auto" w:sz="8" w:space="0"/>
              <w:right w:val="single" w:color="auto" w:sz="8" w:space="0"/>
            </w:tcBorders>
            <w:noWrap w:val="0"/>
            <w:tcMar>
              <w:top w:w="15" w:type="dxa"/>
              <w:left w:w="15" w:type="dxa"/>
              <w:bottom w:w="0" w:type="dxa"/>
              <w:right w:w="15" w:type="dxa"/>
            </w:tcMar>
            <w:vAlign w:val="center"/>
          </w:tcPr>
          <w:p w14:paraId="43E9AE0D">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r>
      <w:tr w14:paraId="17D976B3">
        <w:tblPrEx>
          <w:tblCellMar>
            <w:top w:w="0" w:type="dxa"/>
            <w:left w:w="0" w:type="dxa"/>
            <w:bottom w:w="0" w:type="dxa"/>
            <w:right w:w="0" w:type="dxa"/>
          </w:tblCellMar>
        </w:tblPrEx>
        <w:trPr>
          <w:trHeight w:val="325" w:hRule="atLeast"/>
        </w:trPr>
        <w:tc>
          <w:tcPr>
            <w:tcW w:w="2782" w:type="dxa"/>
            <w:tcBorders>
              <w:top w:val="nil"/>
              <w:left w:val="single" w:color="auto" w:sz="8" w:space="0"/>
              <w:bottom w:val="single" w:color="auto" w:sz="8" w:space="0"/>
              <w:right w:val="single" w:color="auto" w:sz="8" w:space="0"/>
            </w:tcBorders>
            <w:noWrap w:val="0"/>
            <w:tcMar>
              <w:top w:w="15" w:type="dxa"/>
              <w:left w:w="15" w:type="dxa"/>
              <w:bottom w:w="0" w:type="dxa"/>
              <w:right w:w="15" w:type="dxa"/>
            </w:tcMar>
            <w:vAlign w:val="top"/>
          </w:tcPr>
          <w:p w14:paraId="08AC7734">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bCs/>
                <w:color w:val="auto"/>
                <w:sz w:val="24"/>
                <w:highlight w:val="none"/>
              </w:rPr>
            </w:pPr>
            <w:r>
              <w:rPr>
                <w:rFonts w:hint="eastAsia" w:ascii="宋体" w:hAnsi="宋体" w:eastAsia="宋体" w:cs="宋体"/>
                <w:bCs/>
                <w:color w:val="auto"/>
                <w:sz w:val="24"/>
                <w:highlight w:val="none"/>
                <w:lang w:bidi="ar"/>
              </w:rPr>
              <w:t>电话（同微信）</w:t>
            </w:r>
          </w:p>
        </w:tc>
        <w:tc>
          <w:tcPr>
            <w:tcW w:w="3012" w:type="dxa"/>
            <w:tcBorders>
              <w:top w:val="nil"/>
              <w:left w:val="nil"/>
              <w:bottom w:val="single" w:color="auto" w:sz="8" w:space="0"/>
              <w:right w:val="single" w:color="auto" w:sz="8" w:space="0"/>
            </w:tcBorders>
            <w:noWrap w:val="0"/>
            <w:tcMar>
              <w:top w:w="15" w:type="dxa"/>
              <w:left w:w="15" w:type="dxa"/>
              <w:bottom w:w="0" w:type="dxa"/>
              <w:right w:w="15" w:type="dxa"/>
            </w:tcMar>
            <w:vAlign w:val="center"/>
          </w:tcPr>
          <w:p w14:paraId="7B2CFBE6">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c>
          <w:tcPr>
            <w:tcW w:w="2550" w:type="dxa"/>
            <w:tcBorders>
              <w:top w:val="nil"/>
              <w:left w:val="nil"/>
              <w:bottom w:val="single" w:color="auto" w:sz="8" w:space="0"/>
              <w:right w:val="single" w:color="auto" w:sz="8" w:space="0"/>
            </w:tcBorders>
            <w:noWrap w:val="0"/>
            <w:tcMar>
              <w:top w:w="15" w:type="dxa"/>
              <w:left w:w="15" w:type="dxa"/>
              <w:bottom w:w="0" w:type="dxa"/>
              <w:right w:w="15" w:type="dxa"/>
            </w:tcMar>
            <w:vAlign w:val="top"/>
          </w:tcPr>
          <w:p w14:paraId="6CF62C10">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r>
      <w:tr w14:paraId="32CA3EA7">
        <w:tblPrEx>
          <w:tblCellMar>
            <w:top w:w="0" w:type="dxa"/>
            <w:left w:w="0" w:type="dxa"/>
            <w:bottom w:w="0" w:type="dxa"/>
            <w:right w:w="0" w:type="dxa"/>
          </w:tblCellMar>
        </w:tblPrEx>
        <w:trPr>
          <w:trHeight w:val="325" w:hRule="atLeast"/>
        </w:trPr>
        <w:tc>
          <w:tcPr>
            <w:tcW w:w="2782" w:type="dxa"/>
            <w:tcBorders>
              <w:top w:val="nil"/>
              <w:left w:val="single" w:color="auto" w:sz="8" w:space="0"/>
              <w:bottom w:val="single" w:color="auto" w:sz="8" w:space="0"/>
              <w:right w:val="single" w:color="auto" w:sz="8" w:space="0"/>
            </w:tcBorders>
            <w:noWrap w:val="0"/>
            <w:tcMar>
              <w:top w:w="15" w:type="dxa"/>
              <w:left w:w="15" w:type="dxa"/>
              <w:bottom w:w="0" w:type="dxa"/>
              <w:right w:w="15" w:type="dxa"/>
            </w:tcMar>
            <w:vAlign w:val="top"/>
          </w:tcPr>
          <w:p w14:paraId="6340FA2D">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bCs/>
                <w:color w:val="auto"/>
                <w:sz w:val="24"/>
                <w:highlight w:val="none"/>
              </w:rPr>
            </w:pPr>
            <w:r>
              <w:rPr>
                <w:rFonts w:hint="eastAsia" w:ascii="宋体" w:hAnsi="宋体" w:eastAsia="宋体" w:cs="宋体"/>
                <w:bCs/>
                <w:color w:val="auto"/>
                <w:sz w:val="24"/>
                <w:highlight w:val="none"/>
                <w:lang w:bidi="ar"/>
              </w:rPr>
              <w:t>座机</w:t>
            </w:r>
          </w:p>
        </w:tc>
        <w:tc>
          <w:tcPr>
            <w:tcW w:w="3012" w:type="dxa"/>
            <w:tcBorders>
              <w:top w:val="nil"/>
              <w:left w:val="nil"/>
              <w:bottom w:val="single" w:color="auto" w:sz="8" w:space="0"/>
              <w:right w:val="single" w:color="auto" w:sz="8" w:space="0"/>
            </w:tcBorders>
            <w:noWrap w:val="0"/>
            <w:tcMar>
              <w:top w:w="15" w:type="dxa"/>
              <w:left w:w="15" w:type="dxa"/>
              <w:bottom w:w="0" w:type="dxa"/>
              <w:right w:w="15" w:type="dxa"/>
            </w:tcMar>
            <w:vAlign w:val="center"/>
          </w:tcPr>
          <w:p w14:paraId="48862DE8">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c>
          <w:tcPr>
            <w:tcW w:w="2550" w:type="dxa"/>
            <w:tcBorders>
              <w:top w:val="nil"/>
              <w:left w:val="nil"/>
              <w:bottom w:val="single" w:color="auto" w:sz="8" w:space="0"/>
              <w:right w:val="single" w:color="auto" w:sz="8" w:space="0"/>
            </w:tcBorders>
            <w:noWrap w:val="0"/>
            <w:tcMar>
              <w:top w:w="15" w:type="dxa"/>
              <w:left w:w="15" w:type="dxa"/>
              <w:bottom w:w="0" w:type="dxa"/>
              <w:right w:w="15" w:type="dxa"/>
            </w:tcMar>
            <w:vAlign w:val="top"/>
          </w:tcPr>
          <w:p w14:paraId="13923828">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r>
      <w:tr w14:paraId="27FE862F">
        <w:tblPrEx>
          <w:tblCellMar>
            <w:top w:w="0" w:type="dxa"/>
            <w:left w:w="0" w:type="dxa"/>
            <w:bottom w:w="0" w:type="dxa"/>
            <w:right w:w="0" w:type="dxa"/>
          </w:tblCellMar>
        </w:tblPrEx>
        <w:trPr>
          <w:trHeight w:val="325" w:hRule="atLeast"/>
        </w:trPr>
        <w:tc>
          <w:tcPr>
            <w:tcW w:w="2782" w:type="dxa"/>
            <w:tcBorders>
              <w:top w:val="nil"/>
              <w:left w:val="single" w:color="auto" w:sz="8" w:space="0"/>
              <w:bottom w:val="single" w:color="auto" w:sz="8" w:space="0"/>
              <w:right w:val="single" w:color="auto" w:sz="8" w:space="0"/>
            </w:tcBorders>
            <w:noWrap w:val="0"/>
            <w:tcMar>
              <w:top w:w="15" w:type="dxa"/>
              <w:left w:w="15" w:type="dxa"/>
              <w:bottom w:w="0" w:type="dxa"/>
              <w:right w:w="15" w:type="dxa"/>
            </w:tcMar>
            <w:vAlign w:val="top"/>
          </w:tcPr>
          <w:p w14:paraId="076645FF">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bCs/>
                <w:color w:val="auto"/>
                <w:sz w:val="24"/>
                <w:highlight w:val="none"/>
              </w:rPr>
            </w:pPr>
            <w:r>
              <w:rPr>
                <w:rFonts w:hint="eastAsia" w:ascii="宋体" w:hAnsi="宋体" w:eastAsia="宋体" w:cs="宋体"/>
                <w:bCs/>
                <w:color w:val="auto"/>
                <w:sz w:val="24"/>
                <w:highlight w:val="none"/>
                <w:lang w:bidi="ar"/>
              </w:rPr>
              <w:t>联系邮箱</w:t>
            </w:r>
          </w:p>
        </w:tc>
        <w:tc>
          <w:tcPr>
            <w:tcW w:w="3012" w:type="dxa"/>
            <w:tcBorders>
              <w:top w:val="nil"/>
              <w:left w:val="nil"/>
              <w:bottom w:val="single" w:color="auto" w:sz="8" w:space="0"/>
              <w:right w:val="single" w:color="auto" w:sz="8" w:space="0"/>
            </w:tcBorders>
            <w:noWrap w:val="0"/>
            <w:tcMar>
              <w:top w:w="15" w:type="dxa"/>
              <w:left w:w="15" w:type="dxa"/>
              <w:bottom w:w="0" w:type="dxa"/>
              <w:right w:w="15" w:type="dxa"/>
            </w:tcMar>
            <w:vAlign w:val="center"/>
          </w:tcPr>
          <w:p w14:paraId="745B7FB0">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u w:val="single"/>
              </w:rPr>
            </w:pPr>
          </w:p>
        </w:tc>
        <w:tc>
          <w:tcPr>
            <w:tcW w:w="2550" w:type="dxa"/>
            <w:tcBorders>
              <w:top w:val="nil"/>
              <w:left w:val="nil"/>
              <w:bottom w:val="single" w:color="auto" w:sz="8" w:space="0"/>
              <w:right w:val="single" w:color="auto" w:sz="8" w:space="0"/>
            </w:tcBorders>
            <w:noWrap w:val="0"/>
            <w:tcMar>
              <w:top w:w="15" w:type="dxa"/>
              <w:left w:w="15" w:type="dxa"/>
              <w:bottom w:w="0" w:type="dxa"/>
              <w:right w:w="15" w:type="dxa"/>
            </w:tcMar>
            <w:vAlign w:val="center"/>
          </w:tcPr>
          <w:p w14:paraId="124458CE">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u w:val="single"/>
              </w:rPr>
            </w:pPr>
          </w:p>
        </w:tc>
      </w:tr>
      <w:tr w14:paraId="02A296F9">
        <w:tblPrEx>
          <w:tblCellMar>
            <w:top w:w="0" w:type="dxa"/>
            <w:left w:w="0" w:type="dxa"/>
            <w:bottom w:w="0" w:type="dxa"/>
            <w:right w:w="0" w:type="dxa"/>
          </w:tblCellMar>
        </w:tblPrEx>
        <w:trPr>
          <w:trHeight w:val="813" w:hRule="atLeast"/>
        </w:trPr>
        <w:tc>
          <w:tcPr>
            <w:tcW w:w="8344" w:type="dxa"/>
            <w:gridSpan w:val="3"/>
            <w:tcBorders>
              <w:top w:val="nil"/>
              <w:left w:val="single" w:color="auto" w:sz="8" w:space="0"/>
              <w:bottom w:val="single" w:color="auto" w:sz="8" w:space="0"/>
              <w:right w:val="single" w:color="auto" w:sz="8" w:space="0"/>
            </w:tcBorders>
            <w:noWrap w:val="0"/>
            <w:tcMar>
              <w:top w:w="15" w:type="dxa"/>
              <w:left w:w="15" w:type="dxa"/>
              <w:bottom w:w="0" w:type="dxa"/>
              <w:right w:w="15" w:type="dxa"/>
            </w:tcMar>
            <w:vAlign w:val="top"/>
          </w:tcPr>
          <w:p w14:paraId="1572BB14">
            <w:pPr>
              <w:keepNext w:val="0"/>
              <w:keepLines w:val="0"/>
              <w:widowControl/>
              <w:suppressLineNumbers w:val="0"/>
              <w:adjustRightInd w:val="0"/>
              <w:snapToGrid w:val="0"/>
              <w:spacing w:before="0" w:beforeAutospacing="0" w:after="0" w:afterAutospacing="0" w:line="360" w:lineRule="auto"/>
              <w:ind w:left="0" w:right="0"/>
              <w:jc w:val="left"/>
              <w:rPr>
                <w:rFonts w:hint="default" w:ascii="宋体" w:hAnsi="宋体" w:eastAsia="宋体" w:cs="宋体"/>
                <w:color w:val="auto"/>
                <w:sz w:val="24"/>
                <w:highlight w:val="none"/>
              </w:rPr>
            </w:pPr>
            <w:r>
              <w:rPr>
                <w:rFonts w:hint="eastAsia" w:ascii="宋体" w:hAnsi="宋体" w:eastAsia="宋体" w:cs="宋体"/>
                <w:color w:val="auto"/>
                <w:kern w:val="0"/>
                <w:sz w:val="24"/>
                <w:highlight w:val="none"/>
                <w:lang w:bidi="ar"/>
              </w:rPr>
              <w:t>备注：上述信息发生变更，应提前3个工作日通知对方，否则由此产生的责任、损失由违约方承担。</w:t>
            </w:r>
          </w:p>
        </w:tc>
      </w:tr>
    </w:tbl>
    <w:p w14:paraId="679B5383">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2.2交货地点：买方指定地点。一般情况下，卖方应将货物送至买方仓库（福建省内指定地点）集中仓储，再根据买方指令从仓库提货后进行二次配送至最终用户。特殊情况下，卖方应将货物直接送至最终用户。具体按照《定货单》要求执行。</w:t>
      </w:r>
    </w:p>
    <w:p w14:paraId="4FF61C77">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w:t>
      </w:r>
      <w:r>
        <w:rPr>
          <w:rFonts w:ascii="宋体" w:hAnsi="宋体" w:eastAsia="宋体"/>
          <w:color w:val="auto"/>
          <w:sz w:val="24"/>
          <w:szCs w:val="24"/>
          <w:highlight w:val="none"/>
        </w:rPr>
        <w:t>.2.1</w:t>
      </w:r>
      <w:r>
        <w:rPr>
          <w:rFonts w:hint="eastAsia" w:ascii="宋体" w:hAnsi="宋体" w:eastAsia="宋体"/>
          <w:color w:val="auto"/>
          <w:sz w:val="24"/>
          <w:szCs w:val="24"/>
          <w:highlight w:val="none"/>
        </w:rPr>
        <w:t>货物</w:t>
      </w:r>
      <w:r>
        <w:rPr>
          <w:rFonts w:ascii="宋体" w:hAnsi="宋体" w:eastAsia="宋体"/>
          <w:color w:val="auto"/>
          <w:sz w:val="24"/>
          <w:szCs w:val="24"/>
          <w:highlight w:val="none"/>
        </w:rPr>
        <w:t>直送最终用户的，</w:t>
      </w:r>
      <w:r>
        <w:rPr>
          <w:rFonts w:hint="eastAsia" w:ascii="宋体" w:hAnsi="宋体" w:eastAsia="宋体"/>
          <w:color w:val="auto"/>
          <w:sz w:val="24"/>
          <w:szCs w:val="24"/>
          <w:highlight w:val="none"/>
        </w:rPr>
        <w:t>卖方应在卖方发出《定货单》之日起</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15 </w:t>
      </w:r>
      <w:r>
        <w:rPr>
          <w:rFonts w:ascii="宋体" w:hAnsi="宋体" w:eastAsia="宋体"/>
          <w:color w:val="auto"/>
          <w:sz w:val="24"/>
          <w:szCs w:val="24"/>
          <w:highlight w:val="none"/>
        </w:rPr>
        <w:t>个日历日之内</w:t>
      </w:r>
      <w:r>
        <w:rPr>
          <w:rFonts w:hint="eastAsia" w:ascii="宋体" w:hAnsi="宋体" w:eastAsia="宋体"/>
          <w:color w:val="auto"/>
          <w:sz w:val="24"/>
          <w:szCs w:val="24"/>
          <w:highlight w:val="none"/>
        </w:rPr>
        <w:t>（《定货单》的交货期与本条约定不一致的，以《定货单》为准）将</w:t>
      </w:r>
      <w:r>
        <w:rPr>
          <w:rFonts w:ascii="宋体" w:hAnsi="宋体" w:eastAsia="宋体"/>
          <w:color w:val="auto"/>
          <w:sz w:val="24"/>
          <w:szCs w:val="24"/>
          <w:highlight w:val="none"/>
        </w:rPr>
        <w:t>货交最终用户</w:t>
      </w:r>
      <w:r>
        <w:rPr>
          <w:rFonts w:hint="eastAsia" w:ascii="宋体" w:hAnsi="宋体" w:eastAsia="宋体"/>
          <w:color w:val="auto"/>
          <w:sz w:val="24"/>
          <w:szCs w:val="24"/>
          <w:highlight w:val="none"/>
        </w:rPr>
        <w:t>，</w:t>
      </w:r>
      <w:r>
        <w:rPr>
          <w:rFonts w:ascii="宋体" w:hAnsi="宋体" w:eastAsia="宋体"/>
          <w:color w:val="auto"/>
          <w:sz w:val="24"/>
          <w:szCs w:val="24"/>
          <w:highlight w:val="none"/>
        </w:rPr>
        <w:t>卖方应承担相应的运输费用。</w:t>
      </w:r>
    </w:p>
    <w:p w14:paraId="652A40BB">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2.2.2</w:t>
      </w:r>
      <w:r>
        <w:rPr>
          <w:rFonts w:hint="eastAsia" w:ascii="宋体" w:hAnsi="宋体" w:eastAsia="宋体"/>
          <w:color w:val="auto"/>
          <w:sz w:val="24"/>
          <w:szCs w:val="24"/>
          <w:highlight w:val="none"/>
        </w:rPr>
        <w:t>货物</w:t>
      </w:r>
      <w:r>
        <w:rPr>
          <w:rFonts w:ascii="宋体" w:hAnsi="宋体" w:eastAsia="宋体"/>
          <w:color w:val="auto"/>
          <w:sz w:val="24"/>
          <w:szCs w:val="24"/>
          <w:highlight w:val="none"/>
        </w:rPr>
        <w:t>送</w:t>
      </w:r>
      <w:r>
        <w:rPr>
          <w:rFonts w:hint="eastAsia" w:ascii="宋体" w:hAnsi="宋体" w:eastAsia="宋体"/>
          <w:color w:val="auto"/>
          <w:sz w:val="24"/>
          <w:szCs w:val="24"/>
          <w:highlight w:val="none"/>
        </w:rPr>
        <w:t>买方</w:t>
      </w:r>
      <w:r>
        <w:rPr>
          <w:rFonts w:ascii="宋体" w:hAnsi="宋体" w:eastAsia="宋体"/>
          <w:color w:val="auto"/>
          <w:sz w:val="24"/>
          <w:szCs w:val="24"/>
          <w:highlight w:val="none"/>
        </w:rPr>
        <w:t>仓库后再</w:t>
      </w:r>
      <w:r>
        <w:rPr>
          <w:rFonts w:hint="eastAsia" w:ascii="宋体" w:hAnsi="宋体" w:eastAsia="宋体"/>
          <w:color w:val="auto"/>
          <w:sz w:val="24"/>
          <w:szCs w:val="24"/>
          <w:highlight w:val="none"/>
        </w:rPr>
        <w:t>配</w:t>
      </w:r>
      <w:r>
        <w:rPr>
          <w:rFonts w:ascii="宋体" w:hAnsi="宋体" w:eastAsia="宋体"/>
          <w:color w:val="auto"/>
          <w:sz w:val="24"/>
          <w:szCs w:val="24"/>
          <w:highlight w:val="none"/>
        </w:rPr>
        <w:t>送至最终用户的，</w:t>
      </w:r>
      <w:r>
        <w:rPr>
          <w:rFonts w:hint="eastAsia" w:ascii="宋体" w:hAnsi="宋体" w:eastAsia="宋体"/>
          <w:color w:val="auto"/>
          <w:sz w:val="24"/>
          <w:szCs w:val="24"/>
          <w:highlight w:val="none"/>
        </w:rPr>
        <w:t>卖方应在卖方发出《定货单》之日起</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15 </w:t>
      </w:r>
      <w:r>
        <w:rPr>
          <w:rFonts w:ascii="宋体" w:hAnsi="宋体" w:eastAsia="宋体"/>
          <w:color w:val="auto"/>
          <w:sz w:val="24"/>
          <w:szCs w:val="24"/>
          <w:highlight w:val="none"/>
        </w:rPr>
        <w:t>个日历日之内</w:t>
      </w:r>
      <w:r>
        <w:rPr>
          <w:rFonts w:hint="eastAsia" w:ascii="宋体" w:hAnsi="宋体" w:eastAsia="宋体"/>
          <w:color w:val="auto"/>
          <w:sz w:val="24"/>
          <w:szCs w:val="24"/>
          <w:highlight w:val="none"/>
        </w:rPr>
        <w:t>（《定货单》的交货期与本条约定不一致的，以《定货单》为准）将</w:t>
      </w:r>
      <w:r>
        <w:rPr>
          <w:rFonts w:ascii="宋体" w:hAnsi="宋体" w:eastAsia="宋体"/>
          <w:color w:val="auto"/>
          <w:sz w:val="24"/>
          <w:szCs w:val="24"/>
          <w:highlight w:val="none"/>
        </w:rPr>
        <w:t>货交</w:t>
      </w:r>
      <w:r>
        <w:rPr>
          <w:rFonts w:hint="eastAsia" w:ascii="宋体" w:hAnsi="宋体" w:eastAsia="宋体"/>
          <w:color w:val="auto"/>
          <w:sz w:val="24"/>
          <w:szCs w:val="24"/>
          <w:highlight w:val="none"/>
        </w:rPr>
        <w:t>买方仓库，</w:t>
      </w:r>
      <w:r>
        <w:rPr>
          <w:rFonts w:ascii="宋体" w:hAnsi="宋体" w:eastAsia="宋体"/>
          <w:color w:val="auto"/>
          <w:sz w:val="24"/>
          <w:szCs w:val="24"/>
          <w:highlight w:val="none"/>
        </w:rPr>
        <w:t>卖方除承担运送至买方仓库的费用</w:t>
      </w:r>
      <w:r>
        <w:rPr>
          <w:rFonts w:hint="eastAsia" w:ascii="宋体" w:hAnsi="宋体" w:eastAsia="宋体"/>
          <w:color w:val="auto"/>
          <w:sz w:val="24"/>
          <w:szCs w:val="24"/>
          <w:highlight w:val="none"/>
        </w:rPr>
        <w:t>、货物存至买方仓库的仓储操作费</w:t>
      </w:r>
      <w:r>
        <w:rPr>
          <w:rFonts w:ascii="宋体" w:hAnsi="宋体" w:eastAsia="宋体"/>
          <w:color w:val="auto"/>
          <w:sz w:val="24"/>
          <w:szCs w:val="24"/>
          <w:highlight w:val="none"/>
        </w:rPr>
        <w:t>，还应同时承担从买方仓库运送至最终用户的二次配送费用</w:t>
      </w:r>
      <w:r>
        <w:rPr>
          <w:rFonts w:hint="eastAsia" w:ascii="宋体" w:hAnsi="宋体" w:eastAsia="宋体"/>
          <w:color w:val="auto"/>
          <w:sz w:val="24"/>
          <w:szCs w:val="24"/>
          <w:highlight w:val="none"/>
        </w:rPr>
        <w:t>。卖方应按如下费用标准最迟在买方发出《定货单》之日起</w:t>
      </w:r>
      <w:r>
        <w:rPr>
          <w:rFonts w:hint="eastAsia" w:ascii="宋体" w:hAnsi="宋体" w:eastAsia="宋体"/>
          <w:color w:val="auto"/>
          <w:sz w:val="24"/>
          <w:szCs w:val="24"/>
          <w:highlight w:val="none"/>
          <w:u w:val="single"/>
        </w:rPr>
        <w:t>10</w:t>
      </w:r>
      <w:r>
        <w:rPr>
          <w:rFonts w:hint="eastAsia" w:ascii="宋体" w:hAnsi="宋体" w:eastAsia="宋体"/>
          <w:color w:val="auto"/>
          <w:sz w:val="24"/>
          <w:szCs w:val="24"/>
          <w:highlight w:val="none"/>
        </w:rPr>
        <w:t>个工作日内向买方或买方指定的第三方物流商支付相应仓储操作费及二次配送费用：仓储操作费</w:t>
      </w:r>
      <w:r>
        <w:rPr>
          <w:rFonts w:hint="eastAsia" w:ascii="宋体" w:hAnsi="宋体" w:eastAsia="宋体"/>
          <w:color w:val="auto"/>
          <w:sz w:val="24"/>
          <w:szCs w:val="24"/>
          <w:highlight w:val="none"/>
          <w:lang w:val="en-US" w:eastAsia="zh-CN"/>
        </w:rPr>
        <w:t>10</w:t>
      </w:r>
      <w:r>
        <w:rPr>
          <w:rFonts w:hint="eastAsia" w:ascii="宋体" w:hAnsi="宋体" w:eastAsia="宋体"/>
          <w:color w:val="auto"/>
          <w:sz w:val="24"/>
          <w:szCs w:val="24"/>
          <w:highlight w:val="none"/>
        </w:rPr>
        <w:t>元/台；二次配送费15元/台。若卖方未向买方或买方指定的第三方物流商支付该仓储操作费及二次配送费用的，买方有权从卖方货款中扣除相应费用。</w:t>
      </w:r>
    </w:p>
    <w:p w14:paraId="0D3591A3">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2.3交货时间</w:t>
      </w:r>
    </w:p>
    <w:p w14:paraId="228EEFB0">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w:t>
      </w:r>
      <w:r>
        <w:rPr>
          <w:rFonts w:ascii="宋体" w:hAnsi="宋体" w:eastAsia="宋体"/>
          <w:color w:val="auto"/>
          <w:sz w:val="24"/>
          <w:szCs w:val="24"/>
          <w:highlight w:val="none"/>
        </w:rPr>
        <w:t>.3.1</w:t>
      </w:r>
      <w:r>
        <w:rPr>
          <w:rFonts w:hint="eastAsia" w:ascii="宋体" w:hAnsi="宋体" w:eastAsia="宋体"/>
          <w:color w:val="auto"/>
          <w:sz w:val="24"/>
          <w:szCs w:val="24"/>
          <w:highlight w:val="none"/>
        </w:rPr>
        <w:t>供货过程中，若卖方出现暂时的配件型号变更或短缺等情况的，须在买方发出《定货单》之日起5个工作日内向买方和最终用户提供相应证明文件，并提供解决方案（但其价格不得高于成交价且配置配件的参数指标不得低于原来的要求）和买方、最终用户进行协商。经买方和最终用户认可后，卖方按最终确定的方案供货，货款按最终协商一致的价格结算，交货时间满足最终用户的要求。否则，按逾期交货处理。</w:t>
      </w:r>
    </w:p>
    <w:p w14:paraId="1AA595F2">
      <w:pPr>
        <w:adjustRightInd w:val="0"/>
        <w:snapToGrid w:val="0"/>
        <w:spacing w:line="360" w:lineRule="auto"/>
        <w:ind w:firstLine="480" w:firstLineChars="200"/>
        <w:rPr>
          <w:rFonts w:ascii="宋体" w:hAnsi="宋体" w:eastAsia="宋体" w:cs="宋体"/>
          <w:color w:val="auto"/>
          <w:sz w:val="24"/>
          <w:szCs w:val="24"/>
          <w:highlight w:val="none"/>
        </w:rPr>
      </w:pPr>
      <w:r>
        <w:rPr>
          <w:rFonts w:hint="eastAsia" w:ascii="宋体" w:hAnsi="宋体" w:eastAsia="宋体"/>
          <w:color w:val="auto"/>
          <w:sz w:val="24"/>
          <w:szCs w:val="24"/>
          <w:highlight w:val="none"/>
        </w:rPr>
        <w:t>2.</w:t>
      </w:r>
      <w:r>
        <w:rPr>
          <w:rFonts w:ascii="宋体" w:hAnsi="宋体" w:eastAsia="宋体"/>
          <w:color w:val="auto"/>
          <w:sz w:val="24"/>
          <w:szCs w:val="24"/>
          <w:highlight w:val="none"/>
        </w:rPr>
        <w:t>3.2</w:t>
      </w:r>
      <w:r>
        <w:rPr>
          <w:rFonts w:ascii="宋体" w:hAnsi="宋体" w:eastAsia="宋体" w:cs="宋体"/>
          <w:color w:val="auto"/>
          <w:sz w:val="24"/>
          <w:szCs w:val="24"/>
          <w:highlight w:val="none"/>
        </w:rPr>
        <w:t>若在合同期内卖方有任何产品型号或配件升级变更，应至少提前一个月书面通知买方相关信息（包括其升级产品型号、部件及详细配置方案），经买方书面同意后方可按升级后的产品（或配件）供货，价格按合同单价执行，交货时间按采购合同条款执行。同时，在买方同意之前，卖方仍应按原《定货单》的要求供货。否则，按逾期交货处理。经最终用户认可后，卖方可按升级后的产品（或配件）供货。若在合同期内卖方有任何产品型号或配件停产且无法提供符合买方要求的升级型号或配件则视为严重违约，卖方应按每款机型20000元向买方缴纳违约金，买方有权单方面解除中标合同</w:t>
      </w:r>
      <w:r>
        <w:rPr>
          <w:rFonts w:hint="eastAsia" w:ascii="宋体" w:hAnsi="宋体" w:eastAsia="宋体" w:cs="宋体"/>
          <w:color w:val="auto"/>
          <w:sz w:val="24"/>
          <w:szCs w:val="24"/>
          <w:highlight w:val="none"/>
        </w:rPr>
        <w:t>并</w:t>
      </w:r>
      <w:r>
        <w:rPr>
          <w:rFonts w:ascii="宋体" w:hAnsi="宋体" w:eastAsia="宋体" w:cs="宋体"/>
          <w:color w:val="auto"/>
          <w:sz w:val="24"/>
          <w:szCs w:val="24"/>
          <w:highlight w:val="none"/>
        </w:rPr>
        <w:t>没收履约保证金</w:t>
      </w:r>
      <w:r>
        <w:rPr>
          <w:rFonts w:hint="eastAsia" w:ascii="宋体" w:hAnsi="宋体" w:eastAsia="宋体" w:cs="宋体"/>
          <w:color w:val="auto"/>
          <w:sz w:val="24"/>
          <w:szCs w:val="24"/>
          <w:highlight w:val="none"/>
        </w:rPr>
        <w:t>。</w:t>
      </w:r>
    </w:p>
    <w:p w14:paraId="406996FA">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2.3.</w:t>
      </w:r>
      <w:r>
        <w:rPr>
          <w:rFonts w:ascii="宋体" w:hAnsi="宋体" w:eastAsia="宋体"/>
          <w:color w:val="auto"/>
          <w:sz w:val="24"/>
          <w:szCs w:val="24"/>
          <w:highlight w:val="none"/>
        </w:rPr>
        <w:t>3</w:t>
      </w:r>
      <w:r>
        <w:rPr>
          <w:rFonts w:hint="eastAsia" w:ascii="宋体" w:hAnsi="宋体" w:eastAsia="宋体"/>
          <w:color w:val="auto"/>
          <w:sz w:val="24"/>
          <w:szCs w:val="24"/>
          <w:highlight w:val="none"/>
        </w:rPr>
        <w:t>但凡要求卖方更换整机的，重新交货时间按2.</w:t>
      </w:r>
      <w:r>
        <w:rPr>
          <w:rFonts w:ascii="宋体" w:hAnsi="宋体" w:eastAsia="宋体"/>
          <w:color w:val="auto"/>
          <w:sz w:val="24"/>
          <w:szCs w:val="24"/>
          <w:highlight w:val="none"/>
        </w:rPr>
        <w:t>2</w:t>
      </w:r>
      <w:r>
        <w:rPr>
          <w:rFonts w:hint="eastAsia" w:ascii="宋体" w:hAnsi="宋体" w:eastAsia="宋体"/>
          <w:color w:val="auto"/>
          <w:sz w:val="24"/>
          <w:szCs w:val="24"/>
          <w:highlight w:val="none"/>
        </w:rPr>
        <w:t>.1、</w:t>
      </w:r>
      <w:r>
        <w:rPr>
          <w:rFonts w:ascii="宋体" w:hAnsi="宋体" w:eastAsia="宋体"/>
          <w:color w:val="auto"/>
          <w:sz w:val="24"/>
          <w:szCs w:val="24"/>
          <w:highlight w:val="none"/>
        </w:rPr>
        <w:t>2</w:t>
      </w:r>
      <w:r>
        <w:rPr>
          <w:rFonts w:hint="eastAsia" w:ascii="宋体" w:hAnsi="宋体" w:eastAsia="宋体"/>
          <w:color w:val="auto"/>
          <w:sz w:val="24"/>
          <w:szCs w:val="24"/>
          <w:highlight w:val="none"/>
        </w:rPr>
        <w:t>.</w:t>
      </w:r>
      <w:r>
        <w:rPr>
          <w:rFonts w:ascii="宋体" w:hAnsi="宋体" w:eastAsia="宋体"/>
          <w:color w:val="auto"/>
          <w:sz w:val="24"/>
          <w:szCs w:val="24"/>
          <w:highlight w:val="none"/>
        </w:rPr>
        <w:t>2.2</w:t>
      </w:r>
      <w:r>
        <w:rPr>
          <w:rFonts w:hint="eastAsia" w:ascii="宋体" w:hAnsi="宋体" w:eastAsia="宋体"/>
          <w:color w:val="auto"/>
          <w:sz w:val="24"/>
          <w:szCs w:val="24"/>
          <w:highlight w:val="none"/>
        </w:rPr>
        <w:t>条执行。</w:t>
      </w:r>
    </w:p>
    <w:p w14:paraId="661E4ABF">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2.3.</w:t>
      </w:r>
      <w:r>
        <w:rPr>
          <w:rFonts w:ascii="宋体" w:hAnsi="宋体" w:eastAsia="宋体"/>
          <w:color w:val="auto"/>
          <w:sz w:val="24"/>
          <w:szCs w:val="24"/>
          <w:highlight w:val="none"/>
        </w:rPr>
        <w:t>4</w:t>
      </w:r>
      <w:r>
        <w:rPr>
          <w:rFonts w:hint="eastAsia" w:ascii="宋体" w:hAnsi="宋体" w:eastAsia="宋体"/>
          <w:color w:val="auto"/>
          <w:sz w:val="24"/>
          <w:szCs w:val="24"/>
          <w:highlight w:val="none"/>
        </w:rPr>
        <w:t>卖方在收到《定货单》后应按买方要求加盖公章并以扫描件及时回复确认，但最迟不超过</w:t>
      </w:r>
      <w:r>
        <w:rPr>
          <w:rFonts w:ascii="宋体" w:hAnsi="宋体" w:eastAsia="宋体"/>
          <w:color w:val="auto"/>
          <w:sz w:val="24"/>
          <w:szCs w:val="24"/>
          <w:highlight w:val="none"/>
        </w:rPr>
        <w:t>1</w:t>
      </w:r>
      <w:r>
        <w:rPr>
          <w:rFonts w:hint="eastAsia" w:ascii="宋体" w:hAnsi="宋体" w:eastAsia="宋体"/>
          <w:color w:val="auto"/>
          <w:sz w:val="24"/>
          <w:szCs w:val="24"/>
          <w:highlight w:val="none"/>
        </w:rPr>
        <w:t>个日历日。若《定货单》发出之日起</w:t>
      </w:r>
      <w:r>
        <w:rPr>
          <w:rFonts w:ascii="宋体" w:hAnsi="宋体" w:eastAsia="宋体"/>
          <w:color w:val="auto"/>
          <w:sz w:val="24"/>
          <w:szCs w:val="24"/>
          <w:highlight w:val="none"/>
        </w:rPr>
        <w:t>1</w:t>
      </w:r>
      <w:r>
        <w:rPr>
          <w:rFonts w:hint="eastAsia" w:ascii="宋体" w:hAnsi="宋体" w:eastAsia="宋体"/>
          <w:color w:val="auto"/>
          <w:sz w:val="24"/>
          <w:szCs w:val="24"/>
          <w:highlight w:val="none"/>
        </w:rPr>
        <w:t>个日历日内卖方未按买方要求予以确认的，则卖方同意自第3个日历日起计算交货期。</w:t>
      </w:r>
    </w:p>
    <w:p w14:paraId="3530FAF0">
      <w:pPr>
        <w:adjustRightInd w:val="0"/>
        <w:snapToGrid w:val="0"/>
        <w:spacing w:line="360" w:lineRule="auto"/>
        <w:rPr>
          <w:rFonts w:ascii="宋体" w:hAnsi="宋体" w:eastAsia="宋体"/>
          <w:b/>
          <w:color w:val="auto"/>
          <w:sz w:val="24"/>
          <w:szCs w:val="24"/>
          <w:highlight w:val="none"/>
        </w:rPr>
      </w:pPr>
      <w:r>
        <w:rPr>
          <w:rFonts w:hint="eastAsia" w:ascii="宋体" w:hAnsi="宋体" w:eastAsia="宋体"/>
          <w:b/>
          <w:color w:val="auto"/>
          <w:sz w:val="24"/>
          <w:szCs w:val="24"/>
          <w:highlight w:val="none"/>
        </w:rPr>
        <w:t>3、供货清单</w:t>
      </w:r>
    </w:p>
    <w:p w14:paraId="3D407E27">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3.1供货清单：包括产品主机、随机备品备件、专用工具的名称及数量。</w:t>
      </w:r>
    </w:p>
    <w:p w14:paraId="53415376">
      <w:pPr>
        <w:adjustRightInd w:val="0"/>
        <w:snapToGrid w:val="0"/>
        <w:spacing w:line="360" w:lineRule="auto"/>
        <w:rPr>
          <w:rFonts w:ascii="宋体" w:hAnsi="宋体" w:eastAsia="宋体"/>
          <w:b/>
          <w:color w:val="auto"/>
          <w:sz w:val="24"/>
          <w:szCs w:val="24"/>
          <w:highlight w:val="none"/>
        </w:rPr>
      </w:pPr>
      <w:r>
        <w:rPr>
          <w:rFonts w:hint="eastAsia" w:ascii="宋体" w:hAnsi="宋体" w:eastAsia="宋体"/>
          <w:b/>
          <w:color w:val="auto"/>
          <w:sz w:val="24"/>
          <w:szCs w:val="24"/>
          <w:highlight w:val="none"/>
        </w:rPr>
        <w:t>4、付款方式与条件</w:t>
      </w:r>
    </w:p>
    <w:p w14:paraId="55B48DC7">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4.1履约保证金</w:t>
      </w:r>
    </w:p>
    <w:p w14:paraId="3736EFA1">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卖方应在合同签订之日起7个日历日内向买方缴交</w:t>
      </w:r>
      <w:r>
        <w:rPr>
          <w:rFonts w:hint="eastAsia" w:ascii="宋体" w:hAnsi="宋体" w:eastAsia="宋体"/>
          <w:color w:val="auto"/>
          <w:sz w:val="24"/>
          <w:highlight w:val="none"/>
          <w:lang w:val="en-US" w:eastAsia="zh-CN"/>
        </w:rPr>
        <w:t>1万元</w:t>
      </w:r>
      <w:r>
        <w:rPr>
          <w:rFonts w:hint="eastAsia" w:ascii="宋体" w:hAnsi="宋体" w:eastAsia="宋体"/>
          <w:color w:val="auto"/>
          <w:sz w:val="24"/>
          <w:highlight w:val="none"/>
        </w:rPr>
        <w:t>的供货保证金。供货保证金待本合同结束后1个月后的15个工作日内返还（扣除相应的违约金、赔偿金）。</w:t>
      </w:r>
    </w:p>
    <w:p w14:paraId="0F4B64BA">
      <w:pPr>
        <w:spacing w:line="360" w:lineRule="auto"/>
        <w:ind w:firstLine="480" w:firstLineChars="200"/>
        <w:rPr>
          <w:rFonts w:hint="eastAsia" w:ascii="宋体" w:hAnsi="宋体" w:eastAsia="宋体"/>
          <w:color w:val="auto"/>
          <w:sz w:val="24"/>
          <w:highlight w:val="none"/>
        </w:rPr>
      </w:pPr>
      <w:r>
        <w:rPr>
          <w:rFonts w:hint="eastAsia" w:ascii="宋体" w:hAnsi="宋体" w:eastAsia="宋体"/>
          <w:color w:val="auto"/>
          <w:sz w:val="24"/>
          <w:highlight w:val="none"/>
        </w:rPr>
        <w:t>卖方应在合同签订之日起7个日历日内向买方缴交</w:t>
      </w:r>
      <w:r>
        <w:rPr>
          <w:rFonts w:hint="eastAsia" w:ascii="宋体" w:hAnsi="宋体" w:eastAsia="宋体"/>
          <w:color w:val="auto"/>
          <w:sz w:val="24"/>
          <w:highlight w:val="none"/>
          <w:lang w:val="en-US" w:eastAsia="zh-CN"/>
        </w:rPr>
        <w:t>1.5万元</w:t>
      </w:r>
      <w:r>
        <w:rPr>
          <w:rFonts w:hint="eastAsia" w:ascii="宋体" w:hAnsi="宋体" w:eastAsia="宋体"/>
          <w:color w:val="auto"/>
          <w:sz w:val="24"/>
          <w:highlight w:val="none"/>
        </w:rPr>
        <w:t>的售后服务保证金。售后服务保证金待最后一批次货物保修期届满后的15个工作日内返还（扣除相应的违约金、赔偿金）。</w:t>
      </w:r>
    </w:p>
    <w:p w14:paraId="6771A318">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4.2买方按批次支付货款。</w:t>
      </w:r>
    </w:p>
    <w:p w14:paraId="4E55DC9F">
      <w:pPr>
        <w:spacing w:line="360" w:lineRule="auto"/>
        <w:ind w:firstLine="480" w:firstLineChars="200"/>
        <w:rPr>
          <w:rFonts w:ascii="宋体" w:hAnsi="宋体" w:eastAsia="宋体"/>
          <w:color w:val="auto"/>
          <w:sz w:val="24"/>
          <w:highlight w:val="none"/>
        </w:rPr>
      </w:pPr>
      <w:r>
        <w:rPr>
          <w:rFonts w:ascii="宋体" w:hAnsi="宋体" w:eastAsia="宋体" w:cs="宋体"/>
          <w:color w:val="auto"/>
          <w:sz w:val="24"/>
          <w:highlight w:val="none"/>
        </w:rPr>
        <w:t>4.</w:t>
      </w:r>
      <w:r>
        <w:rPr>
          <w:rFonts w:hint="eastAsia" w:ascii="宋体" w:hAnsi="宋体" w:eastAsia="宋体" w:cs="宋体"/>
          <w:color w:val="auto"/>
          <w:sz w:val="24"/>
          <w:highlight w:val="none"/>
        </w:rPr>
        <w:t>2</w:t>
      </w:r>
      <w:r>
        <w:rPr>
          <w:rFonts w:ascii="宋体" w:hAnsi="宋体" w:eastAsia="宋体" w:cs="宋体"/>
          <w:color w:val="auto"/>
          <w:sz w:val="24"/>
          <w:highlight w:val="none"/>
        </w:rPr>
        <w:t>.1</w:t>
      </w:r>
      <w:r>
        <w:rPr>
          <w:rFonts w:hint="eastAsia" w:ascii="宋体" w:hAnsi="宋体" w:eastAsia="宋体" w:cs="宋体"/>
          <w:color w:val="auto"/>
          <w:sz w:val="24"/>
          <w:highlight w:val="none"/>
        </w:rPr>
        <w:t>货物送仓库后再送最终用户的，货交买方仓库经买方初验合格后，买方凭如下单证和文件在</w:t>
      </w:r>
      <w:r>
        <w:rPr>
          <w:rFonts w:hint="eastAsia" w:ascii="宋体" w:hAnsi="宋体" w:eastAsia="宋体" w:cs="宋体"/>
          <w:color w:val="auto"/>
          <w:sz w:val="24"/>
          <w:highlight w:val="none"/>
          <w:u w:val="single"/>
        </w:rPr>
        <w:t>60</w:t>
      </w:r>
      <w:r>
        <w:rPr>
          <w:rFonts w:hint="eastAsia" w:ascii="宋体" w:hAnsi="宋体" w:eastAsia="宋体" w:cs="宋体"/>
          <w:color w:val="auto"/>
          <w:sz w:val="24"/>
          <w:highlight w:val="none"/>
        </w:rPr>
        <w:t>个日历日内向卖方一次性支付至该批次货款的</w:t>
      </w:r>
      <w:r>
        <w:rPr>
          <w:rFonts w:ascii="宋体" w:hAnsi="宋体" w:eastAsia="宋体" w:cs="宋体"/>
          <w:color w:val="auto"/>
          <w:sz w:val="24"/>
          <w:highlight w:val="none"/>
          <w:u w:val="single"/>
        </w:rPr>
        <w:t xml:space="preserve">100 </w:t>
      </w:r>
      <w:r>
        <w:rPr>
          <w:rFonts w:ascii="宋体" w:hAnsi="宋体" w:eastAsia="宋体" w:cs="宋体"/>
          <w:color w:val="auto"/>
          <w:sz w:val="24"/>
          <w:highlight w:val="none"/>
        </w:rPr>
        <w:t>%</w:t>
      </w:r>
      <w:r>
        <w:rPr>
          <w:rFonts w:hint="eastAsia" w:ascii="宋体" w:hAnsi="宋体" w:eastAsia="宋体" w:cs="宋体"/>
          <w:color w:val="auto"/>
          <w:sz w:val="24"/>
          <w:highlight w:val="none"/>
        </w:rPr>
        <w:t>：</w:t>
      </w:r>
    </w:p>
    <w:p w14:paraId="57853BAA">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a.金额为100%的该批次货款的一般纳税人增值税专用发票；</w:t>
      </w:r>
    </w:p>
    <w:p w14:paraId="23AC6F73">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b.卖方已缴纳该批货物的中标/成交服务费和二次配送费、仓储操作费的证明材料；</w:t>
      </w:r>
    </w:p>
    <w:p w14:paraId="45D650A1">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c.买方已收讫的该批次货物的《签收单》。</w:t>
      </w:r>
    </w:p>
    <w:p w14:paraId="7C911AAE">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但是，买方向卖方支付货款并不表示送入仓库的货物通过验收。</w:t>
      </w:r>
    </w:p>
    <w:p w14:paraId="059DE3B7">
      <w:pPr>
        <w:spacing w:line="360" w:lineRule="auto"/>
        <w:ind w:firstLine="480" w:firstLineChars="200"/>
        <w:rPr>
          <w:rFonts w:ascii="宋体" w:hAnsi="宋体" w:eastAsia="宋体"/>
          <w:color w:val="auto"/>
          <w:sz w:val="24"/>
          <w:highlight w:val="none"/>
        </w:rPr>
      </w:pPr>
      <w:r>
        <w:rPr>
          <w:rFonts w:ascii="宋体" w:hAnsi="宋体" w:eastAsia="宋体" w:cs="宋体"/>
          <w:color w:val="auto"/>
          <w:sz w:val="24"/>
          <w:highlight w:val="none"/>
        </w:rPr>
        <w:t>4.</w:t>
      </w:r>
      <w:r>
        <w:rPr>
          <w:rFonts w:hint="eastAsia" w:ascii="宋体" w:hAnsi="宋体" w:eastAsia="宋体" w:cs="宋体"/>
          <w:color w:val="auto"/>
          <w:sz w:val="24"/>
          <w:highlight w:val="none"/>
        </w:rPr>
        <w:t>2</w:t>
      </w:r>
      <w:r>
        <w:rPr>
          <w:rFonts w:ascii="宋体" w:hAnsi="宋体" w:eastAsia="宋体" w:cs="宋体"/>
          <w:color w:val="auto"/>
          <w:sz w:val="24"/>
          <w:highlight w:val="none"/>
        </w:rPr>
        <w:t>.2</w:t>
      </w:r>
      <w:r>
        <w:rPr>
          <w:rFonts w:hint="eastAsia" w:ascii="宋体" w:hAnsi="宋体" w:eastAsia="宋体" w:cs="宋体"/>
          <w:color w:val="auto"/>
          <w:sz w:val="24"/>
          <w:highlight w:val="none"/>
        </w:rPr>
        <w:t>货物直送最终用户的，该批次货物经安装调试完毕并经最终验收合格后，买方凭如下单证和文件在</w:t>
      </w:r>
      <w:r>
        <w:rPr>
          <w:rFonts w:hint="eastAsia" w:ascii="宋体" w:hAnsi="宋体" w:eastAsia="宋体" w:cs="宋体"/>
          <w:color w:val="auto"/>
          <w:sz w:val="24"/>
          <w:highlight w:val="none"/>
          <w:u w:val="single"/>
        </w:rPr>
        <w:t>60</w:t>
      </w:r>
      <w:r>
        <w:rPr>
          <w:rFonts w:hint="eastAsia" w:ascii="宋体" w:hAnsi="宋体" w:eastAsia="宋体" w:cs="宋体"/>
          <w:color w:val="auto"/>
          <w:sz w:val="24"/>
          <w:highlight w:val="none"/>
        </w:rPr>
        <w:t>个日历日内向卖方一次性付清该批次货款的全款。</w:t>
      </w:r>
    </w:p>
    <w:p w14:paraId="1D927D5B">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a.金额为100%的该批次货款的一般纳税人增值税专用发票；</w:t>
      </w:r>
    </w:p>
    <w:p w14:paraId="385F10B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b.卖方已缴纳该批货物的成交服务费的证明材料；</w:t>
      </w:r>
    </w:p>
    <w:p w14:paraId="75B28043">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c.该批次货物的《验收报告》(经最终用户签署)。</w:t>
      </w:r>
    </w:p>
    <w:p w14:paraId="4A9060D2">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5、质量要求和技术标准</w:t>
      </w:r>
    </w:p>
    <w:p w14:paraId="3EB2CBC0">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5.1卖方保证提供的所有产品的技术参数指标与合同附件1（技术参数）中对应产品的技术参数指标相一致。 </w:t>
      </w:r>
    </w:p>
    <w:p w14:paraId="09D7EB60">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5.2卖方保证提供的所有产品（包括所有配件、备件等）均是符合国家标准的、全新的、原产制造并经检验合格的、未使用过的、正宗品牌产品，否则买方有权退货。 </w:t>
      </w:r>
    </w:p>
    <w:p w14:paraId="4DF6E1F8">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5.3卖方承诺不拆换、不调换、不截留产品零部件；不以少充多、不以旧充新，不以劣充优，不以假充真；不提供降低产品等级标准的产品。否则买方有权退货。 </w:t>
      </w:r>
    </w:p>
    <w:p w14:paraId="1541EF90">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5.4包装要求：卖方保证提供的所有合同产品均是厂家出厂的原包装；且必须采用相应标准及保护措施进行包装，这种包装应适应于相应的运输方式，并有良好的防潮、防震、防锈和防野蛮装卸等保护措施，以便保证货物安全运抵现场。货物在运输途中所发生锈、损坏和丢失的损失由卖方承担责任和费用。每件包装应附有详细装箱清单和质量合格证书。最终用户对包装破损的货物有权拒收，卖方承诺予以更换。 </w:t>
      </w:r>
    </w:p>
    <w:p w14:paraId="3C68591B">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5.5卖方保证厂家出厂随机所安装的相关软件为正版软件。 </w:t>
      </w:r>
    </w:p>
    <w:p w14:paraId="4A35F0E3">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5.6卖方保证提供的产品的技术性能、综合质量的稳定性和可靠性；保证提供的产品符合国家质量、技术、环保、安全、节能、保密等相关法律、法规和政策要求及商检标准和电工标准。 </w:t>
      </w:r>
    </w:p>
    <w:p w14:paraId="22456D8A">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5.7卖方承诺提供货物制造厂商的合格证书。</w:t>
      </w:r>
    </w:p>
    <w:p w14:paraId="7EFF2DF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5.8卖方保证配合买方及产品检验检测机构进行合同产品的检验检测，产品检验检测产品的一切相关费用由卖方承担。</w:t>
      </w:r>
    </w:p>
    <w:p w14:paraId="69276593">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6、验收标准及办法</w:t>
      </w:r>
    </w:p>
    <w:p w14:paraId="63B04D3D">
      <w:pPr>
        <w:pStyle w:val="40"/>
        <w:adjustRightInd w:val="0"/>
        <w:snapToGrid w:val="0"/>
        <w:spacing w:line="360" w:lineRule="auto"/>
        <w:ind w:firstLine="480"/>
        <w:jc w:val="left"/>
        <w:rPr>
          <w:rFonts w:ascii="宋体" w:hAnsi="宋体"/>
          <w:color w:val="auto"/>
          <w:kern w:val="2"/>
          <w:sz w:val="24"/>
          <w:szCs w:val="24"/>
          <w:highlight w:val="none"/>
        </w:rPr>
      </w:pPr>
      <w:r>
        <w:rPr>
          <w:rFonts w:hint="eastAsia" w:ascii="宋体" w:hAnsi="宋体"/>
          <w:color w:val="auto"/>
          <w:kern w:val="2"/>
          <w:sz w:val="24"/>
          <w:szCs w:val="24"/>
          <w:highlight w:val="none"/>
        </w:rPr>
        <w:t>6.1初步验收：货物运抵买方指定地点后由买方或最终用户对照采购清单对外观、包装及数量进行验收。卖方应按买方要求填写《签收单》等单据。</w:t>
      </w:r>
    </w:p>
    <w:p w14:paraId="4C0E1D03">
      <w:pPr>
        <w:pStyle w:val="40"/>
        <w:adjustRightInd w:val="0"/>
        <w:snapToGrid w:val="0"/>
        <w:spacing w:line="360" w:lineRule="auto"/>
        <w:ind w:firstLine="480"/>
        <w:jc w:val="left"/>
        <w:rPr>
          <w:rFonts w:ascii="宋体" w:hAnsi="宋体"/>
          <w:color w:val="auto"/>
          <w:kern w:val="2"/>
          <w:sz w:val="24"/>
          <w:szCs w:val="24"/>
          <w:highlight w:val="none"/>
        </w:rPr>
      </w:pPr>
      <w:r>
        <w:rPr>
          <w:rFonts w:hint="eastAsia" w:ascii="宋体" w:hAnsi="宋体"/>
          <w:color w:val="auto"/>
          <w:kern w:val="2"/>
          <w:sz w:val="24"/>
          <w:szCs w:val="24"/>
          <w:highlight w:val="none"/>
        </w:rPr>
        <w:t>6.2最终验收：卖方根据合同要求进行设备安装、调试后，应按买方要求填写《验收报告》等单据并经最终用户签署确认后，三个工作日内报送给买方。</w:t>
      </w:r>
    </w:p>
    <w:p w14:paraId="1D93E7B7">
      <w:pPr>
        <w:pStyle w:val="40"/>
        <w:adjustRightInd w:val="0"/>
        <w:snapToGrid w:val="0"/>
        <w:spacing w:line="360" w:lineRule="auto"/>
        <w:ind w:firstLine="480"/>
        <w:jc w:val="left"/>
        <w:rPr>
          <w:rFonts w:ascii="宋体" w:hAnsi="宋体"/>
          <w:color w:val="auto"/>
          <w:kern w:val="2"/>
          <w:sz w:val="24"/>
          <w:szCs w:val="24"/>
          <w:highlight w:val="none"/>
        </w:rPr>
      </w:pPr>
      <w:r>
        <w:rPr>
          <w:rFonts w:hint="eastAsia" w:ascii="宋体" w:hAnsi="宋体"/>
          <w:color w:val="auto"/>
          <w:kern w:val="2"/>
          <w:sz w:val="24"/>
          <w:szCs w:val="24"/>
          <w:highlight w:val="none"/>
        </w:rPr>
        <w:t>6.3验收时（包括初验和最终验收），卖方必须派代表参加并确认验收结果。</w:t>
      </w:r>
    </w:p>
    <w:p w14:paraId="2A7477F8">
      <w:pPr>
        <w:pStyle w:val="40"/>
        <w:adjustRightInd w:val="0"/>
        <w:snapToGrid w:val="0"/>
        <w:spacing w:line="360" w:lineRule="auto"/>
        <w:ind w:firstLine="480"/>
        <w:jc w:val="left"/>
        <w:rPr>
          <w:rFonts w:ascii="宋体" w:hAnsi="宋体"/>
          <w:color w:val="auto"/>
          <w:kern w:val="2"/>
          <w:sz w:val="24"/>
          <w:szCs w:val="24"/>
          <w:highlight w:val="none"/>
        </w:rPr>
      </w:pPr>
      <w:r>
        <w:rPr>
          <w:rFonts w:hint="eastAsia" w:ascii="宋体" w:hAnsi="宋体"/>
          <w:color w:val="auto"/>
          <w:kern w:val="2"/>
          <w:sz w:val="24"/>
          <w:szCs w:val="24"/>
          <w:highlight w:val="none"/>
        </w:rPr>
        <w:t>6.4移交使用：最终验收合格后，卖方应在最终用户要求的时间内将合同设备移交最终用户使用。合同货物毁损、灭失的风险自移交使用之日起转移。</w:t>
      </w:r>
    </w:p>
    <w:p w14:paraId="69AE7F17">
      <w:pPr>
        <w:pStyle w:val="40"/>
        <w:adjustRightInd w:val="0"/>
        <w:snapToGrid w:val="0"/>
        <w:spacing w:line="360" w:lineRule="auto"/>
        <w:ind w:firstLine="480"/>
        <w:jc w:val="left"/>
        <w:rPr>
          <w:rFonts w:ascii="宋体" w:hAnsi="宋体"/>
          <w:color w:val="auto"/>
          <w:kern w:val="2"/>
          <w:sz w:val="24"/>
          <w:szCs w:val="24"/>
          <w:highlight w:val="none"/>
        </w:rPr>
      </w:pPr>
      <w:r>
        <w:rPr>
          <w:rFonts w:hint="eastAsia" w:ascii="宋体" w:hAnsi="宋体"/>
          <w:color w:val="auto"/>
          <w:kern w:val="2"/>
          <w:sz w:val="24"/>
          <w:szCs w:val="24"/>
          <w:highlight w:val="none"/>
        </w:rPr>
        <w:t>6.5买方有权自行委托我国相关具有检验资质的部门、单位、机构针对卖方产品的精度、性能进行检验。其检验结果将作为验收标准的组成部分之一。</w:t>
      </w:r>
    </w:p>
    <w:p w14:paraId="151BC11A">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7、售后服务（结合项目需求）</w:t>
      </w:r>
    </w:p>
    <w:p w14:paraId="10E291BE">
      <w:pPr>
        <w:spacing w:line="360" w:lineRule="auto"/>
        <w:ind w:firstLine="480" w:firstLineChars="200"/>
        <w:rPr>
          <w:rFonts w:ascii="宋体" w:hAnsi="宋体" w:eastAsia="宋体"/>
          <w:color w:val="auto"/>
          <w:sz w:val="24"/>
          <w:highlight w:val="none"/>
        </w:rPr>
      </w:pPr>
      <w:r>
        <w:rPr>
          <w:rFonts w:ascii="宋体" w:hAnsi="宋体" w:eastAsia="宋体" w:cs="宋体"/>
          <w:color w:val="auto"/>
          <w:sz w:val="24"/>
          <w:highlight w:val="none"/>
        </w:rPr>
        <w:t>7.1</w:t>
      </w:r>
      <w:r>
        <w:rPr>
          <w:rFonts w:hint="eastAsia" w:ascii="宋体" w:hAnsi="宋体" w:eastAsia="宋体" w:cs="宋体"/>
          <w:color w:val="auto"/>
          <w:sz w:val="24"/>
          <w:highlight w:val="none"/>
        </w:rPr>
        <w:t>合同设备的保修期自最终验收合格之日起计算，至少提供整机一年的免费上门保修，同时保证保修年限不低于合同货物中品牌型号的官网标准。</w:t>
      </w:r>
    </w:p>
    <w:p w14:paraId="7A36DB96">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7.2卖方应按《部分商品修理更换退货责任规定》规定执行售后服务，产品出现性能故障的，应严格按照《部分商品修理更换退货责任规定》处理。上述规定要求与本合同其他条款有不一致的，按对最终用户较有利的条款执行。</w:t>
      </w:r>
    </w:p>
    <w:p w14:paraId="63E6A808">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7.3卖方应自合同设备经最终验收合格之日起对合同设备在保修期内提供免费维护的服务，保修期外提供有偿的维护服务。</w:t>
      </w:r>
    </w:p>
    <w:p w14:paraId="48D4157C">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7.4卖方应开通厦门本地的售后服务专线电话，供所有合同设备服务专用。售后服务专线电话应5*8小时实时响应；卖方接到买方或最终用户的报修电话，应在</w:t>
      </w:r>
      <w:r>
        <w:rPr>
          <w:rFonts w:hint="eastAsia" w:ascii="宋体" w:hAnsi="宋体" w:eastAsia="宋体"/>
          <w:color w:val="auto"/>
          <w:sz w:val="24"/>
          <w:szCs w:val="24"/>
          <w:highlight w:val="none"/>
          <w:u w:val="single"/>
        </w:rPr>
        <w:t>30</w:t>
      </w:r>
      <w:r>
        <w:rPr>
          <w:rFonts w:hint="eastAsia" w:ascii="宋体" w:hAnsi="宋体" w:eastAsia="宋体"/>
          <w:color w:val="auto"/>
          <w:sz w:val="24"/>
          <w:szCs w:val="24"/>
          <w:highlight w:val="none"/>
        </w:rPr>
        <w:t>分钟内电话响应，</w:t>
      </w:r>
      <w:r>
        <w:rPr>
          <w:rFonts w:hint="eastAsia" w:ascii="宋体" w:hAnsi="宋体" w:eastAsia="宋体"/>
          <w:color w:val="auto"/>
          <w:sz w:val="24"/>
          <w:szCs w:val="24"/>
          <w:highlight w:val="none"/>
          <w:u w:val="single"/>
        </w:rPr>
        <w:t>4</w:t>
      </w:r>
      <w:r>
        <w:rPr>
          <w:rFonts w:hint="eastAsia" w:ascii="宋体" w:hAnsi="宋体" w:eastAsia="宋体"/>
          <w:color w:val="auto"/>
          <w:sz w:val="24"/>
          <w:szCs w:val="24"/>
          <w:highlight w:val="none"/>
        </w:rPr>
        <w:t>个工作小时内到达，到达后</w:t>
      </w:r>
      <w:r>
        <w:rPr>
          <w:rFonts w:ascii="宋体" w:hAnsi="宋体" w:eastAsia="宋体"/>
          <w:color w:val="auto"/>
          <w:sz w:val="24"/>
          <w:szCs w:val="24"/>
          <w:highlight w:val="none"/>
        </w:rPr>
        <w:t>8</w:t>
      </w:r>
      <w:r>
        <w:rPr>
          <w:rFonts w:hint="eastAsia" w:ascii="宋体" w:hAnsi="宋体" w:eastAsia="宋体"/>
          <w:color w:val="auto"/>
          <w:sz w:val="24"/>
          <w:szCs w:val="24"/>
          <w:highlight w:val="none"/>
        </w:rPr>
        <w:t>个工作小时内修复；若在</w:t>
      </w:r>
      <w:r>
        <w:rPr>
          <w:rFonts w:ascii="宋体" w:hAnsi="宋体" w:eastAsia="宋体"/>
          <w:color w:val="auto"/>
          <w:sz w:val="24"/>
          <w:szCs w:val="24"/>
          <w:highlight w:val="none"/>
        </w:rPr>
        <w:t>8</w:t>
      </w:r>
      <w:r>
        <w:rPr>
          <w:rFonts w:hint="eastAsia" w:ascii="宋体" w:hAnsi="宋体" w:eastAsia="宋体"/>
          <w:color w:val="auto"/>
          <w:sz w:val="24"/>
          <w:szCs w:val="24"/>
          <w:highlight w:val="none"/>
        </w:rPr>
        <w:t>个工作小时内无法修复的，</w:t>
      </w:r>
      <w:r>
        <w:rPr>
          <w:rFonts w:hint="eastAsia" w:ascii="宋体" w:hAnsi="宋体" w:eastAsia="宋体" w:cs="宋体"/>
          <w:color w:val="auto"/>
          <w:sz w:val="24"/>
          <w:highlight w:val="none"/>
        </w:rPr>
        <w:t>卖方应在8个工作小时内提供备用机</w:t>
      </w:r>
      <w:r>
        <w:rPr>
          <w:rFonts w:hint="eastAsia" w:ascii="宋体" w:hAnsi="宋体" w:eastAsia="宋体"/>
          <w:color w:val="auto"/>
          <w:sz w:val="24"/>
          <w:szCs w:val="24"/>
          <w:highlight w:val="none"/>
        </w:rPr>
        <w:t>供最终用户使用，直至设备修复；如卖方所提供的备用机与故障机的型号不同，则需免费提供耗材。如果卖方未在承诺的时间内将设备修复或者提供备用机的，则卖方应按200.00元/台/天向买方支付逾期违约金,但是违约金上限不超过合同设备总金额的1%。(注：上门服务时间主要根据最终用户需求而定，假如最终用户需要第二天上门处理的，应根据最终用户要求的时间上门；如果最终用户需要节假日或晚上19：30后上门，卖方也应根据最终用户的要求上门服务。如无特殊情况，须按照上述标准来服务。)</w:t>
      </w:r>
    </w:p>
    <w:p w14:paraId="1D0A0A0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7.5超出保修期的维修，卖方应向最终用户说明产品已过保，告知最终用户备件费、上门费及服务费，并向最终用户说明备件保修时间及保修方式，征得最终用户同意后再维修, 维修中收取的备件费、上门费及服务费等其它费用不得高于合同产品品牌官方标准（包含品牌官网标准、官方热线标准等），维修收费应提供发票。</w:t>
      </w:r>
    </w:p>
    <w:p w14:paraId="6FF15180">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7.6 合同设备15天内出现故障，卖方应免费为最终用户更换同型号新整机；保修期内，发生产品性能故障维修2次及以上仍不能正常使用的，卖方应负责为最终用户免费更换同型号的新机。若合同设备的型号机器停产，卖方应与最终用户协商，更换其他型号的新机，更换的新机型性能不得低于故障机。换机后的新机，保修期限从换机之日起开始重新计算。因产品故障造成退、换机情况的，由卖方直接办理退换机流程，并在5个工作日内送达客户处更换，不再经过买方仓库。</w:t>
      </w:r>
    </w:p>
    <w:p w14:paraId="00F0475F">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7.7卖方应为合同设备提供免费的上门安装调试服务，安装后产品故障保修由</w:t>
      </w:r>
      <w:r>
        <w:rPr>
          <w:rFonts w:hint="default" w:ascii="宋体" w:hAnsi="宋体"/>
          <w:color w:val="auto"/>
          <w:sz w:val="24"/>
          <w:szCs w:val="24"/>
          <w:highlight w:val="none"/>
        </w:rPr>
        <w:t>卖方</w:t>
      </w:r>
      <w:r>
        <w:rPr>
          <w:rFonts w:hint="eastAsia" w:ascii="宋体" w:hAnsi="宋体" w:eastAsia="宋体"/>
          <w:color w:val="auto"/>
          <w:sz w:val="24"/>
          <w:szCs w:val="24"/>
          <w:highlight w:val="none"/>
        </w:rPr>
        <w:t>提供。</w:t>
      </w:r>
    </w:p>
    <w:p w14:paraId="224E91B8">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7.8在设备的质保期内买方在合同设备的使用过程中，如发现并经双方确认证实产品存在质量隐患或者有严重的质量问题，买方有权要求卖方退换受影响的产品，由此产生的运输费等直接费用由卖方承担。</w:t>
      </w:r>
    </w:p>
    <w:p w14:paraId="7DA0CEE4">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7.9卖方应按最终用户的要求，每季度、每半年或每年一次，对合同设备进行保养服务，并将上门服务结果及时反馈给买方。</w:t>
      </w:r>
    </w:p>
    <w:p w14:paraId="624D9F8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7.10卖方在上门服务时，如果最终用户其它品牌设备出现故障需要卖方的工程师帮助解决，卖方的工程师不得拒绝最终用户的要求，在条件许可的前提下为最终用户服务；如果无法修复，应协助最终用户报修相应的技术售后服务网点或给出可行的解决方案供最终用户参考。</w:t>
      </w:r>
    </w:p>
    <w:p w14:paraId="322D0F82">
      <w:pPr>
        <w:spacing w:line="360" w:lineRule="auto"/>
        <w:ind w:firstLine="480" w:firstLineChars="200"/>
        <w:rPr>
          <w:rFonts w:ascii="宋体" w:hAnsi="宋体" w:eastAsia="宋体" w:cs="宋体"/>
          <w:color w:val="auto"/>
          <w:sz w:val="24"/>
          <w:highlight w:val="none"/>
        </w:rPr>
      </w:pPr>
      <w:r>
        <w:rPr>
          <w:rFonts w:ascii="宋体" w:hAnsi="宋体" w:eastAsia="宋体" w:cs="宋体"/>
          <w:color w:val="auto"/>
          <w:sz w:val="24"/>
          <w:highlight w:val="none"/>
        </w:rPr>
        <w:t>7.11</w:t>
      </w:r>
      <w:r>
        <w:rPr>
          <w:rFonts w:hint="eastAsia" w:ascii="宋体" w:hAnsi="宋体" w:eastAsia="宋体" w:cs="宋体"/>
          <w:color w:val="auto"/>
          <w:sz w:val="24"/>
          <w:highlight w:val="none"/>
        </w:rPr>
        <w:t>卖方在福建地区拥有充足的备品备件，可以保证合同设备在正常损坏情况下，及时给最终用户提供保修或更换；超出保修期的合同设备，卖方应保证在二年内能及时提供产品维修所需的备件。卖方应于第一次供货时一并免费提供</w:t>
      </w: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rPr>
        <w:t>台</w:t>
      </w:r>
      <w:r>
        <w:rPr>
          <w:rFonts w:hint="eastAsia" w:ascii="宋体" w:hAnsi="宋体" w:eastAsia="宋体" w:cs="宋体"/>
          <w:color w:val="auto"/>
          <w:sz w:val="24"/>
          <w:highlight w:val="none"/>
          <w:lang w:val="en-US" w:eastAsia="zh-CN"/>
        </w:rPr>
        <w:t>品目号1-1的</w:t>
      </w:r>
      <w:r>
        <w:rPr>
          <w:rFonts w:hint="eastAsia" w:ascii="宋体" w:hAnsi="宋体" w:eastAsia="宋体" w:cs="宋体"/>
          <w:color w:val="auto"/>
          <w:sz w:val="24"/>
          <w:highlight w:val="none"/>
        </w:rPr>
        <w:t>投标产品</w:t>
      </w:r>
      <w:r>
        <w:rPr>
          <w:rFonts w:hint="eastAsia" w:ascii="宋体" w:hAnsi="宋体" w:cs="宋体"/>
          <w:color w:val="auto"/>
          <w:sz w:val="24"/>
          <w:highlight w:val="none"/>
          <w:lang w:eastAsia="zh-CN"/>
        </w:rPr>
        <w:t>、</w:t>
      </w:r>
      <w:r>
        <w:rPr>
          <w:rFonts w:hint="eastAsia" w:ascii="宋体" w:hAnsi="宋体" w:eastAsia="宋体" w:cs="宋体"/>
          <w:b w:val="0"/>
          <w:color w:val="auto"/>
          <w:sz w:val="24"/>
          <w:szCs w:val="22"/>
          <w:highlight w:val="none"/>
          <w:lang w:val="en-US" w:eastAsia="zh-CN"/>
        </w:rPr>
        <w:t>1台</w:t>
      </w:r>
      <w:r>
        <w:rPr>
          <w:rFonts w:hint="eastAsia" w:ascii="宋体" w:hAnsi="宋体" w:eastAsia="宋体" w:cs="宋体"/>
          <w:b w:val="0"/>
          <w:color w:val="auto"/>
          <w:sz w:val="24"/>
          <w:szCs w:val="22"/>
          <w:highlight w:val="none"/>
        </w:rPr>
        <w:t>品目号1-</w:t>
      </w:r>
      <w:r>
        <w:rPr>
          <w:rFonts w:hint="eastAsia" w:ascii="宋体" w:hAnsi="宋体" w:eastAsia="宋体" w:cs="宋体"/>
          <w:b w:val="0"/>
          <w:color w:val="auto"/>
          <w:sz w:val="24"/>
          <w:szCs w:val="22"/>
          <w:highlight w:val="none"/>
          <w:lang w:val="en-US" w:eastAsia="zh-CN"/>
        </w:rPr>
        <w:t>3</w:t>
      </w:r>
      <w:r>
        <w:rPr>
          <w:rFonts w:hint="eastAsia" w:ascii="宋体" w:hAnsi="宋体" w:cs="宋体"/>
          <w:b w:val="0"/>
          <w:color w:val="auto"/>
          <w:sz w:val="24"/>
          <w:szCs w:val="22"/>
          <w:highlight w:val="none"/>
        </w:rPr>
        <w:t>的投标产品</w:t>
      </w:r>
      <w:r>
        <w:rPr>
          <w:rFonts w:hint="eastAsia" w:ascii="宋体" w:hAnsi="宋体" w:eastAsia="宋体" w:cs="宋体"/>
          <w:color w:val="auto"/>
          <w:sz w:val="24"/>
          <w:highlight w:val="none"/>
        </w:rPr>
        <w:t>给采购单位作为备用机，</w:t>
      </w:r>
      <w:r>
        <w:rPr>
          <w:rFonts w:hint="eastAsia" w:ascii="宋体" w:hAnsi="宋体" w:eastAsia="宋体"/>
          <w:color w:val="auto"/>
          <w:sz w:val="24"/>
          <w:highlight w:val="none"/>
        </w:rPr>
        <w:t>且于中标后第一次供货时一并提供，</w:t>
      </w:r>
      <w:r>
        <w:rPr>
          <w:rFonts w:hint="eastAsia" w:ascii="宋体" w:hAnsi="宋体" w:eastAsia="宋体"/>
          <w:b/>
          <w:color w:val="auto"/>
          <w:sz w:val="24"/>
          <w:highlight w:val="none"/>
        </w:rPr>
        <w:t>质保期满后，备用机不再收回。</w:t>
      </w:r>
      <w:r>
        <w:rPr>
          <w:rFonts w:hint="eastAsia" w:ascii="宋体" w:hAnsi="宋体" w:eastAsia="宋体" w:cs="宋体"/>
          <w:color w:val="auto"/>
          <w:sz w:val="24"/>
          <w:highlight w:val="none"/>
        </w:rPr>
        <w:t>如卖方未能如期送达备用机，应按每天每台承担相当于供货及售后服务保证金1%的违约金。备用机归买方所有，由买方自行调配，合同履行结束后，无需归还。</w:t>
      </w:r>
    </w:p>
    <w:p w14:paraId="7C602D77">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7.12卖方应为合同设备建立完整的客户档案，保修期内，当合同设备发生维修，而最终用户无法提供发票或保修卡时，卖方应根据自身留存的档案，为最终用户提供应有的保修服务。</w:t>
      </w:r>
    </w:p>
    <w:p w14:paraId="3F6AB053">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7.13卖方应对合同设备进行100%的电话回访，每月初向买方提供上月的回访汇总报表及服务明细；当卖方在接到最终用户投诉时，要在</w:t>
      </w:r>
      <w:r>
        <w:rPr>
          <w:rFonts w:hint="eastAsia" w:ascii="宋体" w:hAnsi="宋体" w:eastAsia="宋体"/>
          <w:color w:val="auto"/>
          <w:sz w:val="24"/>
          <w:szCs w:val="24"/>
          <w:highlight w:val="none"/>
          <w:u w:val="single"/>
        </w:rPr>
        <w:t>15</w:t>
      </w:r>
      <w:r>
        <w:rPr>
          <w:rFonts w:hint="eastAsia" w:ascii="宋体" w:hAnsi="宋体" w:eastAsia="宋体"/>
          <w:color w:val="auto"/>
          <w:sz w:val="24"/>
          <w:szCs w:val="24"/>
          <w:highlight w:val="none"/>
        </w:rPr>
        <w:t>分钟之内应响，</w:t>
      </w:r>
      <w:r>
        <w:rPr>
          <w:rFonts w:hint="eastAsia" w:ascii="宋体" w:hAnsi="宋体" w:eastAsia="宋体"/>
          <w:color w:val="auto"/>
          <w:sz w:val="24"/>
          <w:szCs w:val="24"/>
          <w:highlight w:val="none"/>
          <w:u w:val="single"/>
        </w:rPr>
        <w:t xml:space="preserve">  2</w:t>
      </w:r>
      <w:r>
        <w:rPr>
          <w:rFonts w:hint="eastAsia" w:ascii="宋体" w:hAnsi="宋体" w:eastAsia="宋体"/>
          <w:color w:val="auto"/>
          <w:sz w:val="24"/>
          <w:szCs w:val="24"/>
          <w:highlight w:val="none"/>
        </w:rPr>
        <w:t>个工作小时内开始处理，</w:t>
      </w:r>
      <w:r>
        <w:rPr>
          <w:rFonts w:hint="eastAsia" w:ascii="宋体" w:hAnsi="宋体" w:eastAsia="宋体"/>
          <w:color w:val="auto"/>
          <w:sz w:val="24"/>
          <w:szCs w:val="24"/>
          <w:highlight w:val="none"/>
          <w:u w:val="single"/>
        </w:rPr>
        <w:t>2</w:t>
      </w:r>
      <w:r>
        <w:rPr>
          <w:rFonts w:hint="eastAsia" w:ascii="宋体" w:hAnsi="宋体" w:eastAsia="宋体"/>
          <w:color w:val="auto"/>
          <w:sz w:val="24"/>
          <w:szCs w:val="24"/>
          <w:highlight w:val="none"/>
        </w:rPr>
        <w:t>个工作日之内处理完；处理完最终用户的投诉，应及时将处理结果反馈给买方。</w:t>
      </w:r>
    </w:p>
    <w:p w14:paraId="2BD3B756">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7.14卖方应根据最终用户的需求开办合同设备的免费培训课程。</w:t>
      </w:r>
    </w:p>
    <w:p w14:paraId="6DE2E76E">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7.15卖方不得以任何方式对买方隐瞒和欺骗服务情况，买方需要卖方提供的报表不得有虚假，上门服务工程师不得以任何方式引导最终用户对买方回访的回答。</w:t>
      </w:r>
    </w:p>
    <w:p w14:paraId="4AFC53BD">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7.16卖方安装合同设备时应做到：</w:t>
      </w:r>
    </w:p>
    <w:p w14:paraId="6386A122">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在接到买方或最终用户的安装要求后4个小时内安排安装服务人员到达指定地点进行安装调试，安装调试完成后将结果及时反馈给买方：</w:t>
      </w:r>
    </w:p>
    <w:p w14:paraId="29C61101">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A、安装前：</w:t>
      </w:r>
    </w:p>
    <w:p w14:paraId="5587056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1)安装前应与最终用户核对机器型号和台数，确认无误后再安装；</w:t>
      </w:r>
    </w:p>
    <w:p w14:paraId="58BE48C0">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2)上门服务人员应着售后服务供应商工作牌；</w:t>
      </w:r>
    </w:p>
    <w:p w14:paraId="5169D24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3)安装前应检查最终用户的电源电压是否安全稳定，如有问题，应及时告知最终用户，协商整改。</w:t>
      </w:r>
    </w:p>
    <w:p w14:paraId="03DC19B7">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B、安装过程中：</w:t>
      </w:r>
    </w:p>
    <w:p w14:paraId="1D95F1F3">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1) 开箱验机，检查设备外观完好； </w:t>
      </w:r>
    </w:p>
    <w:p w14:paraId="237E6BDE">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 检查每台机器的服务编号；</w:t>
      </w:r>
    </w:p>
    <w:p w14:paraId="308DE3E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3) 如果设备在运输过程中出现损伤，卖方应负责免费给最终用户更换同型号新设备；  </w:t>
      </w:r>
    </w:p>
    <w:p w14:paraId="1AC5E36B">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4) 设备安装到最终用户所指定的位置上，如位置无法正常安装，应与最终用户协商，提出解决方案； </w:t>
      </w:r>
    </w:p>
    <w:p w14:paraId="67A13DA1">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 给新机器连接线缆； </w:t>
      </w:r>
    </w:p>
    <w:p w14:paraId="79734D5F">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6) 安装完成之后开机测试，并根据最终用户的需求进行设置。</w:t>
      </w:r>
    </w:p>
    <w:p w14:paraId="7AA6AB51">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C、安装完成：</w:t>
      </w:r>
    </w:p>
    <w:p w14:paraId="14324F2F">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1)安装完毕，确认产品的正常运行；</w:t>
      </w:r>
    </w:p>
    <w:p w14:paraId="2D8070E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2)安装完毕，应为每台机器注册信息, 并向最终用户详细讲解保修条例；如没有注册信息而导致机器在保修期内无法免费保修的情况，卖方应负责相关维修费用；</w:t>
      </w:r>
    </w:p>
    <w:p w14:paraId="798EB324">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 3)安装完毕，应向最终用户详细讲解使用操作方法和日常维护保养措施，耐心解答最终用户提出的问题，留下服务电话；并在设备合适的地方填(贴)上机器信息（包括报修电话、机器序列号及服务号），方便最终用户报修；</w:t>
      </w:r>
    </w:p>
    <w:p w14:paraId="0E5A9040">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4）安装完毕，应把工作现场打扫干净，将工具等物品复位；</w:t>
      </w:r>
    </w:p>
    <w:p w14:paraId="376FB9A3">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5）安装完毕，应按照买方要求填写验收报告，三个工作日内报送给买方。</w:t>
      </w:r>
    </w:p>
    <w:p w14:paraId="1DF34AB6">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7.17卖方应按买方要求，每日制作报表反馈安装及验收报告签收情况。其他报表需求也应按买方要求提供。</w:t>
      </w:r>
    </w:p>
    <w:p w14:paraId="4A4E8BA4">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8、知识产权</w:t>
      </w:r>
    </w:p>
    <w:p w14:paraId="46C48574">
      <w:pPr>
        <w:adjustRightInd w:val="0"/>
        <w:snapToGrid w:val="0"/>
        <w:spacing w:line="360" w:lineRule="auto"/>
        <w:ind w:firstLine="480"/>
        <w:rPr>
          <w:rFonts w:ascii="宋体" w:hAnsi="宋体" w:eastAsia="宋体"/>
          <w:color w:val="auto"/>
          <w:sz w:val="24"/>
          <w:szCs w:val="24"/>
          <w:highlight w:val="none"/>
        </w:rPr>
      </w:pPr>
      <w:r>
        <w:rPr>
          <w:rFonts w:hint="eastAsia" w:ascii="宋体" w:hAnsi="宋体" w:eastAsia="宋体"/>
          <w:color w:val="auto"/>
          <w:sz w:val="24"/>
          <w:szCs w:val="24"/>
          <w:highlight w:val="none"/>
        </w:rPr>
        <w:t>卖方保证买方或最终用户在使用该品牌产品时不受到第三方关于侵犯知识产权的指控和索赔。如果任何第三方提出侵权指控或索赔，买方或最终用户有权将该等指控或索赔转告卖方。买方或最终用户对于该等索赔不承担责任，卖方应妥善处理该等纠纷，并承担处理该等侵权索赔的抗辩费用、经卖方谈判的和解费用及法院判决的损害赔偿等相关。</w:t>
      </w:r>
    </w:p>
    <w:p w14:paraId="3644633F">
      <w:pPr>
        <w:adjustRightInd w:val="0"/>
        <w:snapToGrid w:val="0"/>
        <w:spacing w:line="360" w:lineRule="auto"/>
        <w:ind w:firstLine="480"/>
        <w:rPr>
          <w:rFonts w:ascii="宋体" w:hAnsi="宋体" w:eastAsia="宋体"/>
          <w:color w:val="auto"/>
          <w:sz w:val="24"/>
          <w:szCs w:val="24"/>
          <w:highlight w:val="none"/>
        </w:rPr>
      </w:pPr>
      <w:r>
        <w:rPr>
          <w:rFonts w:hint="eastAsia" w:ascii="宋体" w:hAnsi="宋体" w:eastAsia="宋体"/>
          <w:color w:val="auto"/>
          <w:sz w:val="24"/>
          <w:szCs w:val="24"/>
          <w:highlight w:val="none"/>
        </w:rPr>
        <w:t>同时，买方有权自费参与针对该等侵权索赔的应诉抗辩或和解，买方因此支出的费用和损失均由卖方承担，且买方有权在本合同的卖方保证金和买方应付货款中扣除前述费用。</w:t>
      </w:r>
    </w:p>
    <w:p w14:paraId="5B82B4A1">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9、违约责任</w:t>
      </w:r>
    </w:p>
    <w:p w14:paraId="6F3C27FA">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9.1卖方若未能按时将保质足量产品送到买方仓库或最终用户指定地点的、或未能按时完成安装调试的，卖方向买方每日偿付当批货款0.5%的逾期违约金。逾期超过5个日历日或者安装不及时（含安装不完整）超过7%，买方有权单方面解除合同，卖方除应退还买方已支付的该批次货款外，还应另行支付相当于履约保证金金额的违约金，</w:t>
      </w:r>
      <w:r>
        <w:rPr>
          <w:rFonts w:ascii="宋体" w:hAnsi="宋体" w:eastAsia="宋体"/>
          <w:color w:val="auto"/>
          <w:sz w:val="24"/>
          <w:szCs w:val="24"/>
          <w:highlight w:val="none"/>
        </w:rPr>
        <w:t>并在三年内拒绝中标供应商参与大宗政府招标采购项目</w:t>
      </w:r>
      <w:r>
        <w:rPr>
          <w:rFonts w:hint="eastAsia" w:ascii="宋体" w:hAnsi="宋体" w:eastAsia="宋体"/>
          <w:color w:val="auto"/>
          <w:sz w:val="24"/>
          <w:szCs w:val="24"/>
          <w:highlight w:val="none"/>
        </w:rPr>
        <w:t>的投标报价。</w:t>
      </w:r>
    </w:p>
    <w:p w14:paraId="31941DA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9.2任一批次的产品若验收不合格（包括初验和最终验收），买方有权换货或单方解除合同，若买方选择换货的，卖方重新供货导致的供货延迟，按9.1条违约责任处理；若买方选择单方解除合同的，卖方除应退还买方已支付该批次货款外，还应另行支付相当于履约保证金金额的违约金，</w:t>
      </w:r>
      <w:r>
        <w:rPr>
          <w:rFonts w:ascii="宋体" w:hAnsi="宋体" w:eastAsia="宋体"/>
          <w:color w:val="auto"/>
          <w:sz w:val="24"/>
          <w:szCs w:val="24"/>
          <w:highlight w:val="none"/>
        </w:rPr>
        <w:t>并在三年内拒绝中标供应商参与大宗政府招标采购项目</w:t>
      </w:r>
      <w:r>
        <w:rPr>
          <w:rFonts w:hint="eastAsia" w:ascii="宋体" w:hAnsi="宋体" w:eastAsia="宋体"/>
          <w:color w:val="auto"/>
          <w:sz w:val="24"/>
          <w:szCs w:val="24"/>
          <w:highlight w:val="none"/>
        </w:rPr>
        <w:t>的投标报价。</w:t>
      </w:r>
    </w:p>
    <w:p w14:paraId="09B6F292">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9.3卖方保证所供成交产品质量与投标时的承诺一致，若有拆装、以次充好、偷换等行为。一经发现，买方将拒绝卖方作为厦门市政府采购供应商，拒绝其三年内参加相同项目的投标报价并有权单方解除合同，卖方除应退还买方已支付该批次货款外，还应另行支付相当于履约保证金金额的违约金。</w:t>
      </w:r>
    </w:p>
    <w:p w14:paraId="3938FB94">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9.4买方根据本合同约定提出换货、退货或解除合同的，卖方应在收到买方或最终用户通知后3个工作日内自行收回不符合合同约定的货物，并承担相应费用。因卖方原因导致退换货的，卖方应承担退换货所需的一切费用。如卖方未在规定时间内收回不合格货物，买方不对上述货物的灭失或损坏承担任何责任。如卖方逾期超过10个日历日仍未收回的，买方有权自行处理上述货物，同时卖方应支付相当于履约保证金金额的违约金，</w:t>
      </w:r>
      <w:r>
        <w:rPr>
          <w:rFonts w:ascii="宋体" w:hAnsi="宋体" w:eastAsia="宋体"/>
          <w:color w:val="auto"/>
          <w:sz w:val="24"/>
          <w:szCs w:val="24"/>
          <w:highlight w:val="none"/>
        </w:rPr>
        <w:t>并在三年内拒绝中标供应商参与大宗政府招标采购项目</w:t>
      </w:r>
      <w:r>
        <w:rPr>
          <w:rFonts w:hint="eastAsia" w:ascii="宋体" w:hAnsi="宋体" w:eastAsia="宋体"/>
          <w:color w:val="auto"/>
          <w:sz w:val="24"/>
          <w:szCs w:val="24"/>
          <w:highlight w:val="none"/>
        </w:rPr>
        <w:t>的投标报价。</w:t>
      </w:r>
    </w:p>
    <w:p w14:paraId="4485D59F">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9.5买方应按商定的付款周期及时支付卖方货款。若故意拖延支付货款，买方向卖方每日偿付延迟付款部分0.1%的违约金，偿付金额最高不超过受影响货物总额的5%。若协商不成，可根据规定向厦门市财政局政府采购监管处投诉并要求解决。</w:t>
      </w:r>
    </w:p>
    <w:p w14:paraId="0EEAAD27">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9.6除本合同另有约定，在买方发出的违约通知后30天内卖方仍未纠正其任何一种违约行为的，买方有权单方解除合同</w:t>
      </w:r>
      <w:r>
        <w:rPr>
          <w:rFonts w:ascii="宋体" w:hAnsi="宋体" w:eastAsia="宋体"/>
          <w:color w:val="auto"/>
          <w:sz w:val="24"/>
          <w:szCs w:val="24"/>
          <w:highlight w:val="none"/>
        </w:rPr>
        <w:t>并</w:t>
      </w:r>
      <w:r>
        <w:rPr>
          <w:rFonts w:hint="eastAsia" w:ascii="宋体" w:hAnsi="宋体" w:eastAsia="宋体"/>
          <w:color w:val="auto"/>
          <w:sz w:val="24"/>
          <w:szCs w:val="24"/>
          <w:highlight w:val="none"/>
        </w:rPr>
        <w:t>没收</w:t>
      </w:r>
      <w:r>
        <w:rPr>
          <w:rFonts w:ascii="宋体" w:hAnsi="宋体" w:eastAsia="宋体"/>
          <w:color w:val="auto"/>
          <w:sz w:val="24"/>
          <w:szCs w:val="24"/>
          <w:highlight w:val="none"/>
        </w:rPr>
        <w:t>卖方</w:t>
      </w:r>
      <w:r>
        <w:rPr>
          <w:rFonts w:hint="eastAsia" w:ascii="宋体" w:hAnsi="宋体" w:eastAsia="宋体"/>
          <w:color w:val="auto"/>
          <w:sz w:val="24"/>
          <w:szCs w:val="24"/>
          <w:highlight w:val="none"/>
        </w:rPr>
        <w:t>全部</w:t>
      </w:r>
      <w:r>
        <w:rPr>
          <w:rFonts w:ascii="宋体" w:hAnsi="宋体" w:eastAsia="宋体"/>
          <w:color w:val="auto"/>
          <w:sz w:val="24"/>
          <w:szCs w:val="24"/>
          <w:highlight w:val="none"/>
        </w:rPr>
        <w:t>履约保证金</w:t>
      </w:r>
      <w:r>
        <w:rPr>
          <w:rFonts w:hint="eastAsia" w:ascii="宋体" w:hAnsi="宋体" w:eastAsia="宋体"/>
          <w:color w:val="auto"/>
          <w:sz w:val="24"/>
          <w:szCs w:val="24"/>
          <w:highlight w:val="none"/>
        </w:rPr>
        <w:t>。</w:t>
      </w:r>
    </w:p>
    <w:p w14:paraId="5618200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9.7无论本合同及其附件等有任何其他或相反规定，在本合同中卖方向买方支付的违约金总额累计不超过合同总金额的10%（即买方扣划卖方缴交的履约保证金作为违约金）。买方应在扣划履约保证金前书面通知卖方违约事由，如卖方在书面通知所列明的合理期限（不超过</w:t>
      </w:r>
      <w:r>
        <w:rPr>
          <w:rFonts w:ascii="宋体" w:hAnsi="宋体" w:eastAsia="宋体"/>
          <w:color w:val="auto"/>
          <w:sz w:val="24"/>
          <w:szCs w:val="24"/>
          <w:highlight w:val="none"/>
        </w:rPr>
        <w:t>10</w:t>
      </w:r>
      <w:r>
        <w:rPr>
          <w:rFonts w:hint="eastAsia" w:ascii="宋体" w:hAnsi="宋体" w:eastAsia="宋体"/>
          <w:color w:val="auto"/>
          <w:sz w:val="24"/>
          <w:szCs w:val="24"/>
          <w:highlight w:val="none"/>
        </w:rPr>
        <w:t>天）内未予纠正，则履约保证金扣划才可实施。卖方存在以下情形的，</w:t>
      </w:r>
      <w:r>
        <w:rPr>
          <w:rFonts w:ascii="宋体" w:hAnsi="宋体" w:eastAsia="宋体"/>
          <w:color w:val="auto"/>
          <w:sz w:val="24"/>
          <w:szCs w:val="24"/>
          <w:highlight w:val="none"/>
        </w:rPr>
        <w:t>买方有权</w:t>
      </w:r>
      <w:r>
        <w:rPr>
          <w:rFonts w:hint="eastAsia" w:ascii="宋体" w:hAnsi="宋体" w:eastAsia="宋体"/>
          <w:color w:val="auto"/>
          <w:sz w:val="24"/>
          <w:szCs w:val="24"/>
          <w:highlight w:val="none"/>
        </w:rPr>
        <w:t>立即单方通知卖方解除合同</w:t>
      </w:r>
      <w:r>
        <w:rPr>
          <w:rFonts w:ascii="宋体" w:hAnsi="宋体" w:eastAsia="宋体"/>
          <w:color w:val="auto"/>
          <w:sz w:val="24"/>
          <w:szCs w:val="24"/>
          <w:highlight w:val="none"/>
        </w:rPr>
        <w:t>并</w:t>
      </w:r>
      <w:r>
        <w:rPr>
          <w:rFonts w:hint="eastAsia" w:ascii="宋体" w:hAnsi="宋体" w:eastAsia="宋体"/>
          <w:color w:val="auto"/>
          <w:sz w:val="24"/>
          <w:szCs w:val="24"/>
          <w:highlight w:val="none"/>
        </w:rPr>
        <w:t>没收</w:t>
      </w:r>
      <w:r>
        <w:rPr>
          <w:rFonts w:ascii="宋体" w:hAnsi="宋体" w:eastAsia="宋体"/>
          <w:color w:val="auto"/>
          <w:sz w:val="24"/>
          <w:szCs w:val="24"/>
          <w:highlight w:val="none"/>
        </w:rPr>
        <w:t>卖方</w:t>
      </w:r>
      <w:r>
        <w:rPr>
          <w:rFonts w:hint="eastAsia" w:ascii="宋体" w:hAnsi="宋体" w:eastAsia="宋体"/>
          <w:color w:val="auto"/>
          <w:sz w:val="24"/>
          <w:szCs w:val="24"/>
          <w:highlight w:val="none"/>
        </w:rPr>
        <w:t>全部</w:t>
      </w:r>
      <w:r>
        <w:rPr>
          <w:rFonts w:ascii="宋体" w:hAnsi="宋体" w:eastAsia="宋体"/>
          <w:color w:val="auto"/>
          <w:sz w:val="24"/>
          <w:szCs w:val="24"/>
          <w:highlight w:val="none"/>
        </w:rPr>
        <w:t>履约保证金</w:t>
      </w:r>
      <w:r>
        <w:rPr>
          <w:rFonts w:hint="eastAsia" w:ascii="宋体" w:hAnsi="宋体" w:eastAsia="宋体"/>
          <w:color w:val="auto"/>
          <w:sz w:val="24"/>
          <w:szCs w:val="24"/>
          <w:highlight w:val="none"/>
        </w:rPr>
        <w:t>：</w:t>
      </w:r>
    </w:p>
    <w:p w14:paraId="3A3C480E">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①违反法律法规、行业规范要求被有关部门查处的；</w:t>
      </w:r>
    </w:p>
    <w:p w14:paraId="3F7E5ABC">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②提供假冒伪劣产品的；</w:t>
      </w:r>
    </w:p>
    <w:p w14:paraId="62DEC163">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③通过给回扣或变相给回扣的方式招揽业务的；</w:t>
      </w:r>
    </w:p>
    <w:p w14:paraId="18857431">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④因产品质量或服务问题被有效投诉达三次以上的；</w:t>
      </w:r>
    </w:p>
    <w:p w14:paraId="71C74BC8">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⑤向有关部门、买方、最终使用方提供虚假信息或资料等情况的；</w:t>
      </w:r>
    </w:p>
    <w:p w14:paraId="44391087">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⑥出现重大客户投诉事件（如政府采购管理部门督办事件、新闻媒体公开报道、采购业主书面发函投诉以及其他对买方产生严重负面影响的事件）；</w:t>
      </w:r>
    </w:p>
    <w:p w14:paraId="5DEA5EE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⑦报修率超过</w:t>
      </w:r>
      <w:r>
        <w:rPr>
          <w:rFonts w:ascii="宋体" w:hAnsi="宋体" w:eastAsia="宋体"/>
          <w:color w:val="auto"/>
          <w:sz w:val="24"/>
          <w:szCs w:val="24"/>
          <w:highlight w:val="none"/>
        </w:rPr>
        <w:t>3%（按品类分别统计）。报修率=保修期内硬件故障报修有效台次/已销售台数*100%（已销售台数超过</w:t>
      </w:r>
      <w:r>
        <w:rPr>
          <w:rFonts w:hint="eastAsia" w:ascii="宋体" w:hAnsi="宋体" w:eastAsia="宋体"/>
          <w:color w:val="auto"/>
          <w:sz w:val="24"/>
          <w:szCs w:val="24"/>
          <w:highlight w:val="none"/>
        </w:rPr>
        <w:t>50</w:t>
      </w:r>
      <w:r>
        <w:rPr>
          <w:rFonts w:ascii="宋体" w:hAnsi="宋体" w:eastAsia="宋体"/>
          <w:color w:val="auto"/>
          <w:sz w:val="24"/>
          <w:szCs w:val="24"/>
          <w:highlight w:val="none"/>
        </w:rPr>
        <w:t>台之后开始计算报修率）。</w:t>
      </w:r>
    </w:p>
    <w:p w14:paraId="633A567D">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⑧逾期供货时间超过</w:t>
      </w:r>
      <w:r>
        <w:rPr>
          <w:rFonts w:ascii="宋体" w:hAnsi="宋体" w:eastAsia="宋体"/>
          <w:color w:val="auto"/>
          <w:sz w:val="24"/>
          <w:szCs w:val="24"/>
          <w:highlight w:val="none"/>
        </w:rPr>
        <w:t>30天</w:t>
      </w:r>
      <w:r>
        <w:rPr>
          <w:rFonts w:hint="eastAsia" w:ascii="宋体" w:hAnsi="宋体" w:eastAsia="宋体"/>
          <w:color w:val="auto"/>
          <w:sz w:val="24"/>
          <w:szCs w:val="24"/>
          <w:highlight w:val="none"/>
        </w:rPr>
        <w:t>（包括产品送到买方仓库或最终用户指定地点的逾期和完成产品安装调试的逾期）</w:t>
      </w:r>
      <w:r>
        <w:rPr>
          <w:rFonts w:ascii="宋体" w:hAnsi="宋体" w:eastAsia="宋体"/>
          <w:color w:val="auto"/>
          <w:sz w:val="24"/>
          <w:szCs w:val="24"/>
          <w:highlight w:val="none"/>
        </w:rPr>
        <w:t>。</w:t>
      </w:r>
    </w:p>
    <w:p w14:paraId="23C7AF14">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⑨产品入库检测、检验时发现大面积（同批次全部产品或不同批次同型号产品</w:t>
      </w:r>
      <w:r>
        <w:rPr>
          <w:rFonts w:hint="eastAsia" w:ascii="宋体" w:hAnsi="宋体" w:eastAsia="宋体"/>
          <w:color w:val="auto"/>
          <w:sz w:val="24"/>
          <w:szCs w:val="24"/>
          <w:highlight w:val="none"/>
          <w:u w:val="single"/>
        </w:rPr>
        <w:t xml:space="preserve"> 3</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rPr>
        <w:t>%及以上）产品质量问题。</w:t>
      </w:r>
    </w:p>
    <w:p w14:paraId="06622E6D">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9.8卖方承诺配合参与买方举办的壹年两次的政府大宗产品推介会，并且免费提供相应的合同机型作为样机展示，否则视为违约，卖方应按对应合同机型的单价向买方支付违约金，若卖方未向买方支付，则买方有权直接从履约保证金款项中直接给予扣除。</w:t>
      </w:r>
    </w:p>
    <w:p w14:paraId="4BF2362F">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9.9买方有权向两家卖方中的任何一家或两家就合同的履行提出索赔或要求其履行义务、责任、债务等，两家卖方共同承担合同的义务，且两家卖方就合同的履行承担连带责任。</w:t>
      </w:r>
    </w:p>
    <w:p w14:paraId="3C0F27A1">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10、不可抗力</w:t>
      </w:r>
    </w:p>
    <w:p w14:paraId="3BF2376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10.1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5F8C608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10.2本合同中的不可抗力指不能预见、不能避免并不能克服的客观情况。包括但不限于：自然灾害如地震、台风、洪水、火灾；政府行为、法律规定或其适用的变化或者其他任何无法预见、避免或者控制的事件。</w:t>
      </w:r>
    </w:p>
    <w:p w14:paraId="100738EB">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10.3当事人一方因不可抗力的原因不能履行合同的，应及时通知对方，以减轻可能给对方造成的损失，并应当在合理期限内提供证明。</w:t>
      </w:r>
    </w:p>
    <w:p w14:paraId="718C1E70">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1</w:t>
      </w:r>
      <w:r>
        <w:rPr>
          <w:rFonts w:ascii="宋体" w:hAnsi="宋体" w:eastAsia="宋体"/>
          <w:b/>
          <w:bCs/>
          <w:color w:val="auto"/>
          <w:sz w:val="24"/>
          <w:szCs w:val="24"/>
          <w:highlight w:val="none"/>
        </w:rPr>
        <w:t>1</w:t>
      </w:r>
      <w:r>
        <w:rPr>
          <w:rFonts w:hint="eastAsia" w:ascii="宋体" w:hAnsi="宋体" w:eastAsia="宋体"/>
          <w:b/>
          <w:bCs/>
          <w:color w:val="auto"/>
          <w:sz w:val="24"/>
          <w:szCs w:val="24"/>
          <w:highlight w:val="none"/>
        </w:rPr>
        <w:t>、通知</w:t>
      </w:r>
    </w:p>
    <w:p w14:paraId="3167F7AF">
      <w:pPr>
        <w:adjustRightInd w:val="0"/>
        <w:snapToGrid w:val="0"/>
        <w:spacing w:line="360" w:lineRule="auto"/>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双方同意凡与本合同有关的通知及文件资料的送达，可以采用直接送达、或以EMS快递或电子邮件发送至本合同签字页载明的联系地址或电子信箱，双方指定联系人及联系方式与2</w:t>
      </w:r>
      <w:r>
        <w:rPr>
          <w:rFonts w:ascii="宋体" w:hAnsi="宋体" w:eastAsia="宋体"/>
          <w:color w:val="auto"/>
          <w:sz w:val="24"/>
          <w:szCs w:val="24"/>
          <w:highlight w:val="none"/>
        </w:rPr>
        <w:t>.1.3</w:t>
      </w:r>
      <w:r>
        <w:rPr>
          <w:rFonts w:hint="eastAsia" w:ascii="宋体" w:hAnsi="宋体" w:eastAsia="宋体"/>
          <w:color w:val="auto"/>
          <w:sz w:val="24"/>
          <w:szCs w:val="24"/>
          <w:highlight w:val="none"/>
        </w:rPr>
        <w:t>条所列一致。直接送达的以签收之日为送达日，以EMS快递通知的，以发往本合同签字页载明的联系地址之日视为送达，不论是否签收；以电子邮件通知的，以发生时间为送达时间。如同时采取多种方式发送通知的，以通知最先到达之日为送达日。电子邮箱、通讯地址、联系人等信息发生变更的，变更方应在变更前三天以书面形式告知对方；未告知的，视为未变更，由此导致通知及文件资料等不能送达或不能及时送达的后果由变更方自行承担。</w:t>
      </w:r>
    </w:p>
    <w:p w14:paraId="6F56CBB1">
      <w:pPr>
        <w:adjustRightInd w:val="0"/>
        <w:snapToGrid w:val="0"/>
        <w:spacing w:line="360" w:lineRule="auto"/>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 xml:space="preserve">    双方指定的送达地址适用于合同履行、非诉方式争议解决、诉讼（含一审、二审、再审）及执行等程序。</w:t>
      </w:r>
    </w:p>
    <w:p w14:paraId="4629B7AE">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    上述送达具备《中华人民共和国民事诉讼法》规定送达效力，各方放弃提出异议、抗辩未依法送达的权利，产生的后果由各方自行承担。</w:t>
      </w:r>
    </w:p>
    <w:p w14:paraId="29EDAAFC">
      <w:pPr>
        <w:adjustRightInd w:val="0"/>
        <w:snapToGrid w:val="0"/>
        <w:spacing w:line="360" w:lineRule="auto"/>
        <w:rPr>
          <w:rFonts w:ascii="宋体" w:hAnsi="宋体" w:eastAsia="宋体"/>
          <w:color w:val="auto"/>
          <w:sz w:val="24"/>
          <w:szCs w:val="24"/>
          <w:highlight w:val="none"/>
        </w:rPr>
      </w:pPr>
      <w:r>
        <w:rPr>
          <w:rFonts w:hint="eastAsia" w:ascii="宋体" w:hAnsi="宋体" w:eastAsia="宋体"/>
          <w:b/>
          <w:bCs/>
          <w:color w:val="auto"/>
          <w:sz w:val="24"/>
          <w:szCs w:val="24"/>
          <w:highlight w:val="none"/>
        </w:rPr>
        <w:t>12、合同纠纷处理方式</w:t>
      </w:r>
    </w:p>
    <w:p w14:paraId="1134C8A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因本合同或与本合同有关的一切事项发生争议，由双方友好协商解决。协商不成的，任何一方均可向买方所在地人民法院提起诉讼。</w:t>
      </w:r>
    </w:p>
    <w:p w14:paraId="2029B9A3">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13、其他约定</w:t>
      </w:r>
    </w:p>
    <w:p w14:paraId="60A255F1">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13.1本采购项目的谈判文件、卖方的投标文件、相关的澄清确认函（如果有的话）以及附件1《技术参数》、附件2《服务考核细则》、附件3《</w:t>
      </w:r>
      <w:r>
        <w:rPr>
          <w:rFonts w:hint="eastAsia" w:ascii="宋体" w:hAnsi="宋体" w:eastAsia="宋体" w:cs="宋体"/>
          <w:color w:val="auto"/>
          <w:sz w:val="24"/>
          <w:szCs w:val="24"/>
          <w:highlight w:val="none"/>
        </w:rPr>
        <w:t>安装费用收费标准</w:t>
      </w:r>
      <w:r>
        <w:rPr>
          <w:rFonts w:hint="eastAsia" w:ascii="宋体" w:hAnsi="宋体" w:eastAsia="宋体"/>
          <w:color w:val="auto"/>
          <w:sz w:val="24"/>
          <w:szCs w:val="24"/>
          <w:highlight w:val="none"/>
        </w:rPr>
        <w:t>》及其他附件均为本合同不可分割的一部分。</w:t>
      </w:r>
    </w:p>
    <w:p w14:paraId="6BBD5DD7">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13.2本合同未尽事宜，双方另行补充。</w:t>
      </w:r>
    </w:p>
    <w:p w14:paraId="239ED514">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13.3本合同一式伍份，经双方签订之日起生效。买方、卖方各执贰份，送厦门市财政局政府采购监管处备案一份，具有同等效力。</w:t>
      </w:r>
    </w:p>
    <w:p w14:paraId="79C4EB2A">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13.4本合同期满后，本合同中有关质量保证、售后服务、知识产权及违约责任等条款继续保持有效。</w:t>
      </w:r>
    </w:p>
    <w:p w14:paraId="647274D6">
      <w:pPr>
        <w:spacing w:line="360" w:lineRule="auto"/>
        <w:ind w:firstLine="480" w:firstLineChars="200"/>
        <w:rPr>
          <w:rFonts w:ascii="宋体" w:hAnsi="宋体" w:eastAsia="宋体"/>
          <w:color w:val="auto"/>
          <w:sz w:val="24"/>
          <w:szCs w:val="24"/>
          <w:highlight w:val="none"/>
        </w:rPr>
      </w:pPr>
    </w:p>
    <w:tbl>
      <w:tblPr>
        <w:tblStyle w:val="14"/>
        <w:tblW w:w="9348" w:type="dxa"/>
        <w:jc w:val="center"/>
        <w:tblLayout w:type="fixed"/>
        <w:tblCellMar>
          <w:top w:w="0" w:type="dxa"/>
          <w:left w:w="108" w:type="dxa"/>
          <w:bottom w:w="0" w:type="dxa"/>
          <w:right w:w="108" w:type="dxa"/>
        </w:tblCellMar>
      </w:tblPr>
      <w:tblGrid>
        <w:gridCol w:w="1442"/>
        <w:gridCol w:w="3121"/>
        <w:gridCol w:w="1486"/>
        <w:gridCol w:w="3299"/>
      </w:tblGrid>
      <w:tr w14:paraId="4F507E07">
        <w:tblPrEx>
          <w:tblCellMar>
            <w:top w:w="0" w:type="dxa"/>
            <w:left w:w="108" w:type="dxa"/>
            <w:bottom w:w="0" w:type="dxa"/>
            <w:right w:w="108" w:type="dxa"/>
          </w:tblCellMar>
        </w:tblPrEx>
        <w:trPr>
          <w:trHeight w:val="438" w:hRule="atLeast"/>
          <w:jc w:val="center"/>
        </w:trPr>
        <w:tc>
          <w:tcPr>
            <w:tcW w:w="1442" w:type="dxa"/>
            <w:tcBorders>
              <w:top w:val="single" w:color="auto" w:sz="4" w:space="0"/>
              <w:left w:val="single" w:color="auto" w:sz="4" w:space="0"/>
              <w:bottom w:val="single" w:color="auto" w:sz="4" w:space="0"/>
              <w:right w:val="single" w:color="auto" w:sz="4" w:space="0"/>
            </w:tcBorders>
            <w:noWrap w:val="0"/>
            <w:vAlign w:val="center"/>
          </w:tcPr>
          <w:p w14:paraId="69A4C563">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lang w:val="en-US" w:eastAsia="zh-CN"/>
              </w:rPr>
            </w:pPr>
            <w:r>
              <w:rPr>
                <w:rFonts w:hint="eastAsia" w:ascii="宋体" w:hAnsi="宋体" w:eastAsia="宋体"/>
                <w:b/>
                <w:bCs/>
                <w:color w:val="auto"/>
                <w:sz w:val="24"/>
                <w:szCs w:val="24"/>
                <w:highlight w:val="none"/>
                <w:lang w:val="en-US" w:eastAsia="zh-CN"/>
              </w:rPr>
              <w:t>买   方</w:t>
            </w:r>
          </w:p>
        </w:tc>
        <w:tc>
          <w:tcPr>
            <w:tcW w:w="3121" w:type="dxa"/>
            <w:tcBorders>
              <w:top w:val="single" w:color="auto" w:sz="4" w:space="0"/>
              <w:left w:val="nil"/>
              <w:bottom w:val="single" w:color="auto" w:sz="4" w:space="0"/>
              <w:right w:val="single" w:color="auto" w:sz="4" w:space="0"/>
            </w:tcBorders>
            <w:noWrap w:val="0"/>
            <w:vAlign w:val="center"/>
          </w:tcPr>
          <w:p w14:paraId="0142697F">
            <w:pPr>
              <w:pStyle w:val="8"/>
              <w:keepNext w:val="0"/>
              <w:keepLines w:val="0"/>
              <w:suppressLineNumbers w:val="0"/>
              <w:spacing w:before="0" w:beforeAutospacing="0" w:after="0" w:afterAutospacing="0"/>
              <w:ind w:left="0" w:right="0"/>
              <w:rPr>
                <w:rFonts w:hint="default" w:ascii="宋体" w:hAnsi="宋体" w:eastAsia="宋体"/>
                <w:color w:val="auto"/>
                <w:kern w:val="0"/>
                <w:sz w:val="24"/>
                <w:highlight w:val="none"/>
                <w:lang w:val="en-US" w:eastAsia="zh-CN"/>
              </w:rPr>
            </w:pPr>
            <w:r>
              <w:rPr>
                <w:rFonts w:hint="eastAsia" w:ascii="宋体" w:hAnsi="宋体" w:eastAsia="宋体"/>
                <w:color w:val="auto"/>
                <w:kern w:val="0"/>
                <w:sz w:val="24"/>
                <w:highlight w:val="none"/>
                <w:lang w:val="en-US" w:eastAsia="zh-CN"/>
              </w:rPr>
              <w:t>厦门万翔网络商务有限公司</w:t>
            </w:r>
          </w:p>
        </w:tc>
        <w:tc>
          <w:tcPr>
            <w:tcW w:w="1486" w:type="dxa"/>
            <w:tcBorders>
              <w:top w:val="single" w:color="auto" w:sz="4" w:space="0"/>
              <w:left w:val="nil"/>
              <w:bottom w:val="single" w:color="auto" w:sz="4" w:space="0"/>
              <w:right w:val="single" w:color="auto" w:sz="4" w:space="0"/>
            </w:tcBorders>
            <w:noWrap w:val="0"/>
            <w:vAlign w:val="center"/>
          </w:tcPr>
          <w:p w14:paraId="1ABA392A">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lang w:val="en-US" w:eastAsia="zh-CN"/>
              </w:rPr>
            </w:pPr>
            <w:r>
              <w:rPr>
                <w:rFonts w:hint="eastAsia" w:ascii="宋体" w:hAnsi="宋体" w:eastAsia="宋体"/>
                <w:b/>
                <w:bCs/>
                <w:color w:val="auto"/>
                <w:sz w:val="24"/>
                <w:szCs w:val="24"/>
                <w:highlight w:val="none"/>
                <w:lang w:val="en-US" w:eastAsia="zh-CN"/>
              </w:rPr>
              <w:t>卖   方</w:t>
            </w:r>
          </w:p>
        </w:tc>
        <w:tc>
          <w:tcPr>
            <w:tcW w:w="3299" w:type="dxa"/>
            <w:tcBorders>
              <w:top w:val="single" w:color="auto" w:sz="4" w:space="0"/>
              <w:left w:val="nil"/>
              <w:bottom w:val="single" w:color="auto" w:sz="4" w:space="0"/>
              <w:right w:val="single" w:color="auto" w:sz="4" w:space="0"/>
            </w:tcBorders>
            <w:noWrap w:val="0"/>
            <w:vAlign w:val="center"/>
          </w:tcPr>
          <w:p w14:paraId="40438F15">
            <w:pPr>
              <w:pStyle w:val="8"/>
              <w:keepNext w:val="0"/>
              <w:keepLines w:val="0"/>
              <w:suppressLineNumbers w:val="0"/>
              <w:spacing w:before="0" w:beforeAutospacing="0" w:after="0" w:afterAutospacing="0"/>
              <w:ind w:left="0" w:right="0"/>
              <w:rPr>
                <w:rFonts w:hint="default" w:ascii="宋体" w:hAnsi="宋体" w:eastAsia="宋体"/>
                <w:color w:val="auto"/>
                <w:kern w:val="0"/>
                <w:sz w:val="24"/>
                <w:highlight w:val="none"/>
                <w:lang w:val="en-US" w:eastAsia="zh-CN"/>
              </w:rPr>
            </w:pPr>
          </w:p>
        </w:tc>
      </w:tr>
      <w:tr w14:paraId="19311577">
        <w:tblPrEx>
          <w:tblCellMar>
            <w:top w:w="0" w:type="dxa"/>
            <w:left w:w="108" w:type="dxa"/>
            <w:bottom w:w="0" w:type="dxa"/>
            <w:right w:w="108" w:type="dxa"/>
          </w:tblCellMar>
        </w:tblPrEx>
        <w:trPr>
          <w:trHeight w:val="585" w:hRule="atLeast"/>
          <w:jc w:val="center"/>
        </w:trPr>
        <w:tc>
          <w:tcPr>
            <w:tcW w:w="1442" w:type="dxa"/>
            <w:tcBorders>
              <w:top w:val="single" w:color="auto" w:sz="4" w:space="0"/>
              <w:left w:val="single" w:color="auto" w:sz="4" w:space="0"/>
              <w:bottom w:val="single" w:color="auto" w:sz="4" w:space="0"/>
              <w:right w:val="single" w:color="auto" w:sz="4" w:space="0"/>
            </w:tcBorders>
            <w:noWrap w:val="0"/>
            <w:vAlign w:val="center"/>
          </w:tcPr>
          <w:p w14:paraId="7CAD5ACB">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lang w:val="en-US" w:eastAsia="zh-CN"/>
              </w:rPr>
            </w:pPr>
            <w:r>
              <w:rPr>
                <w:rFonts w:hint="eastAsia" w:ascii="宋体" w:hAnsi="宋体" w:eastAsia="宋体"/>
                <w:b/>
                <w:bCs/>
                <w:color w:val="auto"/>
                <w:sz w:val="24"/>
                <w:szCs w:val="24"/>
                <w:highlight w:val="none"/>
                <w:lang w:val="en-US" w:eastAsia="zh-CN"/>
              </w:rPr>
              <w:t>单位地址</w:t>
            </w:r>
          </w:p>
        </w:tc>
        <w:tc>
          <w:tcPr>
            <w:tcW w:w="3121" w:type="dxa"/>
            <w:tcBorders>
              <w:top w:val="single" w:color="auto" w:sz="4" w:space="0"/>
              <w:left w:val="nil"/>
              <w:bottom w:val="single" w:color="auto" w:sz="4" w:space="0"/>
              <w:right w:val="single" w:color="auto" w:sz="4" w:space="0"/>
            </w:tcBorders>
            <w:noWrap w:val="0"/>
            <w:vAlign w:val="center"/>
          </w:tcPr>
          <w:p w14:paraId="4E93C18F">
            <w:pPr>
              <w:pStyle w:val="8"/>
              <w:keepNext w:val="0"/>
              <w:keepLines w:val="0"/>
              <w:suppressLineNumbers w:val="0"/>
              <w:spacing w:before="0" w:beforeAutospacing="0" w:after="0" w:afterAutospacing="0"/>
              <w:ind w:left="0" w:right="0"/>
              <w:rPr>
                <w:rFonts w:hint="default" w:ascii="宋体" w:hAnsi="宋体" w:eastAsia="宋体"/>
                <w:color w:val="auto"/>
                <w:kern w:val="0"/>
                <w:sz w:val="24"/>
                <w:highlight w:val="none"/>
                <w:lang w:val="en-US" w:eastAsia="zh-CN"/>
              </w:rPr>
            </w:pPr>
            <w:r>
              <w:rPr>
                <w:rFonts w:hint="eastAsia" w:ascii="宋体" w:hAnsi="宋体" w:eastAsia="宋体"/>
                <w:color w:val="auto"/>
                <w:kern w:val="0"/>
                <w:sz w:val="24"/>
                <w:highlight w:val="none"/>
                <w:lang w:val="en-US" w:eastAsia="zh-CN"/>
              </w:rPr>
              <w:t>厦门市湖里区机场北路476号</w:t>
            </w:r>
          </w:p>
        </w:tc>
        <w:tc>
          <w:tcPr>
            <w:tcW w:w="1486" w:type="dxa"/>
            <w:tcBorders>
              <w:top w:val="single" w:color="auto" w:sz="4" w:space="0"/>
              <w:left w:val="nil"/>
              <w:bottom w:val="single" w:color="auto" w:sz="4" w:space="0"/>
              <w:right w:val="single" w:color="auto" w:sz="4" w:space="0"/>
            </w:tcBorders>
            <w:noWrap w:val="0"/>
            <w:vAlign w:val="center"/>
          </w:tcPr>
          <w:p w14:paraId="3A99E7DF">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lang w:val="en-US" w:eastAsia="zh-CN"/>
              </w:rPr>
            </w:pPr>
            <w:r>
              <w:rPr>
                <w:rFonts w:hint="eastAsia" w:ascii="宋体" w:hAnsi="宋体" w:eastAsia="宋体"/>
                <w:b/>
                <w:bCs/>
                <w:color w:val="auto"/>
                <w:sz w:val="24"/>
                <w:szCs w:val="24"/>
                <w:highlight w:val="none"/>
                <w:lang w:val="en-US" w:eastAsia="zh-CN"/>
              </w:rPr>
              <w:t>单位地址</w:t>
            </w:r>
          </w:p>
        </w:tc>
        <w:tc>
          <w:tcPr>
            <w:tcW w:w="3299" w:type="dxa"/>
            <w:tcBorders>
              <w:top w:val="single" w:color="auto" w:sz="4" w:space="0"/>
              <w:left w:val="nil"/>
              <w:bottom w:val="single" w:color="auto" w:sz="4" w:space="0"/>
              <w:right w:val="single" w:color="auto" w:sz="4" w:space="0"/>
            </w:tcBorders>
            <w:noWrap w:val="0"/>
            <w:vAlign w:val="center"/>
          </w:tcPr>
          <w:p w14:paraId="17248EEB">
            <w:pPr>
              <w:pStyle w:val="8"/>
              <w:keepNext w:val="0"/>
              <w:keepLines w:val="0"/>
              <w:suppressLineNumbers w:val="0"/>
              <w:spacing w:before="0" w:beforeAutospacing="0" w:after="0" w:afterAutospacing="0"/>
              <w:ind w:left="0" w:right="0"/>
              <w:rPr>
                <w:rFonts w:hint="default" w:ascii="宋体" w:hAnsi="宋体" w:eastAsia="宋体"/>
                <w:color w:val="auto"/>
                <w:kern w:val="0"/>
                <w:sz w:val="24"/>
                <w:highlight w:val="none"/>
                <w:lang w:val="en-US" w:eastAsia="zh-CN"/>
              </w:rPr>
            </w:pPr>
          </w:p>
        </w:tc>
      </w:tr>
      <w:tr w14:paraId="15BD4C54">
        <w:tblPrEx>
          <w:tblCellMar>
            <w:top w:w="0" w:type="dxa"/>
            <w:left w:w="108" w:type="dxa"/>
            <w:bottom w:w="0" w:type="dxa"/>
            <w:right w:w="108" w:type="dxa"/>
          </w:tblCellMar>
        </w:tblPrEx>
        <w:trPr>
          <w:trHeight w:val="499" w:hRule="atLeast"/>
          <w:jc w:val="center"/>
        </w:trPr>
        <w:tc>
          <w:tcPr>
            <w:tcW w:w="1442" w:type="dxa"/>
            <w:tcBorders>
              <w:top w:val="single" w:color="auto" w:sz="4" w:space="0"/>
              <w:left w:val="single" w:color="auto" w:sz="4" w:space="0"/>
              <w:bottom w:val="single" w:color="auto" w:sz="4" w:space="0"/>
              <w:right w:val="single" w:color="auto" w:sz="4" w:space="0"/>
            </w:tcBorders>
            <w:noWrap w:val="0"/>
            <w:vAlign w:val="center"/>
          </w:tcPr>
          <w:p w14:paraId="58183589">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lang w:val="en-US" w:eastAsia="zh-CN"/>
              </w:rPr>
            </w:pPr>
            <w:r>
              <w:rPr>
                <w:rFonts w:hint="eastAsia" w:ascii="宋体" w:hAnsi="宋体" w:eastAsia="宋体"/>
                <w:b/>
                <w:bCs/>
                <w:color w:val="auto"/>
                <w:sz w:val="24"/>
                <w:szCs w:val="24"/>
                <w:highlight w:val="none"/>
                <w:lang w:val="en-US" w:eastAsia="zh-CN"/>
              </w:rPr>
              <w:t>法定代表人</w:t>
            </w:r>
          </w:p>
        </w:tc>
        <w:tc>
          <w:tcPr>
            <w:tcW w:w="3121" w:type="dxa"/>
            <w:tcBorders>
              <w:top w:val="single" w:color="auto" w:sz="4" w:space="0"/>
              <w:left w:val="nil"/>
              <w:bottom w:val="single" w:color="auto" w:sz="4" w:space="0"/>
              <w:right w:val="single" w:color="auto" w:sz="4" w:space="0"/>
            </w:tcBorders>
            <w:noWrap w:val="0"/>
            <w:vAlign w:val="center"/>
          </w:tcPr>
          <w:p w14:paraId="68F4E56B">
            <w:pPr>
              <w:pStyle w:val="8"/>
              <w:keepNext w:val="0"/>
              <w:keepLines w:val="0"/>
              <w:suppressLineNumbers w:val="0"/>
              <w:spacing w:before="0" w:beforeAutospacing="0" w:after="0" w:afterAutospacing="0"/>
              <w:ind w:left="0" w:right="0"/>
              <w:rPr>
                <w:rFonts w:hint="default" w:ascii="宋体" w:hAnsi="宋体" w:eastAsia="宋体"/>
                <w:color w:val="auto"/>
                <w:kern w:val="0"/>
                <w:sz w:val="24"/>
                <w:highlight w:val="none"/>
                <w:lang w:val="en-US" w:eastAsia="zh-CN"/>
              </w:rPr>
            </w:pPr>
            <w:r>
              <w:rPr>
                <w:rFonts w:hint="eastAsia" w:ascii="宋体" w:hAnsi="宋体" w:eastAsia="宋体"/>
                <w:color w:val="auto"/>
                <w:kern w:val="0"/>
                <w:sz w:val="24"/>
                <w:highlight w:val="none"/>
                <w:lang w:val="en-US" w:eastAsia="zh-CN"/>
              </w:rPr>
              <w:t>周培坤</w:t>
            </w:r>
          </w:p>
        </w:tc>
        <w:tc>
          <w:tcPr>
            <w:tcW w:w="1486" w:type="dxa"/>
            <w:tcBorders>
              <w:top w:val="single" w:color="auto" w:sz="4" w:space="0"/>
              <w:left w:val="nil"/>
              <w:bottom w:val="single" w:color="auto" w:sz="4" w:space="0"/>
              <w:right w:val="single" w:color="auto" w:sz="4" w:space="0"/>
            </w:tcBorders>
            <w:noWrap w:val="0"/>
            <w:vAlign w:val="center"/>
          </w:tcPr>
          <w:p w14:paraId="01EF0262">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lang w:val="en-US" w:eastAsia="zh-CN"/>
              </w:rPr>
            </w:pPr>
            <w:r>
              <w:rPr>
                <w:rFonts w:hint="eastAsia" w:ascii="宋体" w:hAnsi="宋体" w:eastAsia="宋体"/>
                <w:b/>
                <w:bCs/>
                <w:color w:val="auto"/>
                <w:sz w:val="24"/>
                <w:szCs w:val="24"/>
                <w:highlight w:val="none"/>
                <w:lang w:val="en-US" w:eastAsia="zh-CN"/>
              </w:rPr>
              <w:t>法定代表人</w:t>
            </w:r>
          </w:p>
        </w:tc>
        <w:tc>
          <w:tcPr>
            <w:tcW w:w="3299" w:type="dxa"/>
            <w:tcBorders>
              <w:top w:val="single" w:color="auto" w:sz="4" w:space="0"/>
              <w:left w:val="nil"/>
              <w:bottom w:val="single" w:color="auto" w:sz="4" w:space="0"/>
              <w:right w:val="single" w:color="auto" w:sz="4" w:space="0"/>
            </w:tcBorders>
            <w:noWrap w:val="0"/>
            <w:vAlign w:val="center"/>
          </w:tcPr>
          <w:p w14:paraId="19F35AF8">
            <w:pPr>
              <w:pStyle w:val="8"/>
              <w:keepNext w:val="0"/>
              <w:keepLines w:val="0"/>
              <w:suppressLineNumbers w:val="0"/>
              <w:spacing w:before="0" w:beforeAutospacing="0" w:after="0" w:afterAutospacing="0"/>
              <w:ind w:left="0" w:right="0"/>
              <w:rPr>
                <w:rFonts w:hint="default" w:ascii="宋体" w:hAnsi="宋体" w:eastAsia="宋体"/>
                <w:color w:val="auto"/>
                <w:kern w:val="0"/>
                <w:sz w:val="24"/>
                <w:highlight w:val="none"/>
                <w:lang w:val="en-US" w:eastAsia="zh-CN"/>
              </w:rPr>
            </w:pPr>
          </w:p>
        </w:tc>
      </w:tr>
      <w:tr w14:paraId="724DA9A3">
        <w:tblPrEx>
          <w:tblCellMar>
            <w:top w:w="0" w:type="dxa"/>
            <w:left w:w="108" w:type="dxa"/>
            <w:bottom w:w="0" w:type="dxa"/>
            <w:right w:w="108" w:type="dxa"/>
          </w:tblCellMar>
        </w:tblPrEx>
        <w:trPr>
          <w:trHeight w:val="542" w:hRule="atLeast"/>
          <w:jc w:val="center"/>
        </w:trPr>
        <w:tc>
          <w:tcPr>
            <w:tcW w:w="1442" w:type="dxa"/>
            <w:tcBorders>
              <w:top w:val="single" w:color="auto" w:sz="4" w:space="0"/>
              <w:left w:val="single" w:color="auto" w:sz="4" w:space="0"/>
              <w:bottom w:val="single" w:color="auto" w:sz="4" w:space="0"/>
              <w:right w:val="single" w:color="auto" w:sz="4" w:space="0"/>
            </w:tcBorders>
            <w:noWrap w:val="0"/>
            <w:vAlign w:val="center"/>
          </w:tcPr>
          <w:p w14:paraId="156F386E">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lang w:val="en-US" w:eastAsia="zh-CN"/>
              </w:rPr>
            </w:pPr>
            <w:r>
              <w:rPr>
                <w:rFonts w:hint="eastAsia" w:ascii="宋体" w:hAnsi="宋体" w:eastAsia="宋体"/>
                <w:b/>
                <w:bCs/>
                <w:color w:val="auto"/>
                <w:sz w:val="24"/>
                <w:szCs w:val="24"/>
                <w:highlight w:val="none"/>
                <w:lang w:val="en-US" w:eastAsia="zh-CN"/>
              </w:rPr>
              <w:t>签字代表</w:t>
            </w:r>
          </w:p>
        </w:tc>
        <w:tc>
          <w:tcPr>
            <w:tcW w:w="3121" w:type="dxa"/>
            <w:tcBorders>
              <w:top w:val="single" w:color="auto" w:sz="4" w:space="0"/>
              <w:left w:val="nil"/>
              <w:bottom w:val="single" w:color="auto" w:sz="4" w:space="0"/>
              <w:right w:val="single" w:color="auto" w:sz="4" w:space="0"/>
            </w:tcBorders>
            <w:noWrap w:val="0"/>
            <w:vAlign w:val="center"/>
          </w:tcPr>
          <w:p w14:paraId="69B5C398">
            <w:pPr>
              <w:pStyle w:val="8"/>
              <w:keepNext w:val="0"/>
              <w:keepLines w:val="0"/>
              <w:suppressLineNumbers w:val="0"/>
              <w:spacing w:before="0" w:beforeAutospacing="0" w:after="0" w:afterAutospacing="0"/>
              <w:ind w:left="0" w:right="0"/>
              <w:rPr>
                <w:rFonts w:hint="default" w:ascii="宋体" w:hAnsi="宋体" w:eastAsia="宋体"/>
                <w:color w:val="auto"/>
                <w:kern w:val="0"/>
                <w:sz w:val="24"/>
                <w:highlight w:val="none"/>
                <w:lang w:val="en-US" w:eastAsia="zh-CN"/>
              </w:rPr>
            </w:pPr>
          </w:p>
        </w:tc>
        <w:tc>
          <w:tcPr>
            <w:tcW w:w="1486" w:type="dxa"/>
            <w:tcBorders>
              <w:top w:val="single" w:color="auto" w:sz="4" w:space="0"/>
              <w:left w:val="nil"/>
              <w:bottom w:val="single" w:color="auto" w:sz="4" w:space="0"/>
              <w:right w:val="single" w:color="auto" w:sz="4" w:space="0"/>
            </w:tcBorders>
            <w:noWrap w:val="0"/>
            <w:vAlign w:val="center"/>
          </w:tcPr>
          <w:p w14:paraId="450A036A">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lang w:val="en-US" w:eastAsia="zh-CN"/>
              </w:rPr>
            </w:pPr>
            <w:r>
              <w:rPr>
                <w:rFonts w:hint="eastAsia" w:ascii="宋体" w:hAnsi="宋体" w:eastAsia="宋体"/>
                <w:b/>
                <w:bCs/>
                <w:color w:val="auto"/>
                <w:sz w:val="24"/>
                <w:szCs w:val="24"/>
                <w:highlight w:val="none"/>
                <w:lang w:val="en-US" w:eastAsia="zh-CN"/>
              </w:rPr>
              <w:t>签字代表</w:t>
            </w:r>
          </w:p>
        </w:tc>
        <w:tc>
          <w:tcPr>
            <w:tcW w:w="3299" w:type="dxa"/>
            <w:tcBorders>
              <w:top w:val="single" w:color="auto" w:sz="4" w:space="0"/>
              <w:left w:val="nil"/>
              <w:bottom w:val="single" w:color="auto" w:sz="4" w:space="0"/>
              <w:right w:val="single" w:color="auto" w:sz="4" w:space="0"/>
            </w:tcBorders>
            <w:noWrap w:val="0"/>
            <w:vAlign w:val="center"/>
          </w:tcPr>
          <w:p w14:paraId="2837B199">
            <w:pPr>
              <w:pStyle w:val="8"/>
              <w:keepNext w:val="0"/>
              <w:keepLines w:val="0"/>
              <w:suppressLineNumbers w:val="0"/>
              <w:spacing w:before="0" w:beforeAutospacing="0" w:after="0" w:afterAutospacing="0"/>
              <w:ind w:left="0" w:right="0"/>
              <w:rPr>
                <w:rFonts w:hint="default" w:ascii="宋体" w:hAnsi="宋体" w:eastAsia="宋体"/>
                <w:color w:val="auto"/>
                <w:kern w:val="0"/>
                <w:sz w:val="24"/>
                <w:highlight w:val="none"/>
                <w:lang w:val="en-US" w:eastAsia="zh-CN"/>
              </w:rPr>
            </w:pPr>
          </w:p>
        </w:tc>
      </w:tr>
      <w:tr w14:paraId="45D45B38">
        <w:tblPrEx>
          <w:tblCellMar>
            <w:top w:w="0" w:type="dxa"/>
            <w:left w:w="108" w:type="dxa"/>
            <w:bottom w:w="0" w:type="dxa"/>
            <w:right w:w="108" w:type="dxa"/>
          </w:tblCellMar>
        </w:tblPrEx>
        <w:trPr>
          <w:trHeight w:val="327" w:hRule="atLeast"/>
          <w:jc w:val="center"/>
        </w:trPr>
        <w:tc>
          <w:tcPr>
            <w:tcW w:w="1442" w:type="dxa"/>
            <w:tcBorders>
              <w:top w:val="single" w:color="auto" w:sz="4" w:space="0"/>
              <w:left w:val="single" w:color="auto" w:sz="4" w:space="0"/>
              <w:bottom w:val="single" w:color="auto" w:sz="4" w:space="0"/>
              <w:right w:val="single" w:color="auto" w:sz="4" w:space="0"/>
            </w:tcBorders>
            <w:noWrap w:val="0"/>
            <w:vAlign w:val="center"/>
          </w:tcPr>
          <w:p w14:paraId="21CE0F9A">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lang w:val="en-US" w:eastAsia="zh-CN"/>
              </w:rPr>
            </w:pPr>
            <w:r>
              <w:rPr>
                <w:rFonts w:hint="eastAsia" w:ascii="宋体" w:hAnsi="宋体" w:eastAsia="宋体"/>
                <w:b/>
                <w:bCs/>
                <w:color w:val="auto"/>
                <w:sz w:val="24"/>
                <w:szCs w:val="24"/>
                <w:highlight w:val="none"/>
                <w:lang w:val="en-US" w:eastAsia="zh-CN"/>
              </w:rPr>
              <w:t>电    话</w:t>
            </w:r>
          </w:p>
        </w:tc>
        <w:tc>
          <w:tcPr>
            <w:tcW w:w="3121" w:type="dxa"/>
            <w:tcBorders>
              <w:top w:val="single" w:color="auto" w:sz="4" w:space="0"/>
              <w:left w:val="nil"/>
              <w:bottom w:val="single" w:color="auto" w:sz="4" w:space="0"/>
              <w:right w:val="single" w:color="auto" w:sz="4" w:space="0"/>
            </w:tcBorders>
            <w:noWrap w:val="0"/>
            <w:vAlign w:val="center"/>
          </w:tcPr>
          <w:p w14:paraId="2AC71126">
            <w:pPr>
              <w:pStyle w:val="8"/>
              <w:keepNext w:val="0"/>
              <w:keepLines w:val="0"/>
              <w:suppressLineNumbers w:val="0"/>
              <w:spacing w:before="0" w:beforeAutospacing="0" w:after="0" w:afterAutospacing="0"/>
              <w:ind w:left="0" w:right="0"/>
              <w:rPr>
                <w:rFonts w:hint="default" w:ascii="宋体" w:hAnsi="宋体" w:eastAsia="宋体"/>
                <w:color w:val="auto"/>
                <w:kern w:val="0"/>
                <w:sz w:val="24"/>
                <w:highlight w:val="none"/>
                <w:lang w:val="en-US" w:eastAsia="zh-CN"/>
              </w:rPr>
            </w:pPr>
            <w:r>
              <w:rPr>
                <w:rFonts w:hint="eastAsia" w:ascii="宋体" w:hAnsi="宋体" w:eastAsia="宋体"/>
                <w:color w:val="auto"/>
                <w:kern w:val="0"/>
                <w:sz w:val="24"/>
                <w:highlight w:val="none"/>
                <w:lang w:val="en-US" w:eastAsia="zh-CN"/>
              </w:rPr>
              <w:t>0592-5736568</w:t>
            </w:r>
          </w:p>
        </w:tc>
        <w:tc>
          <w:tcPr>
            <w:tcW w:w="1486" w:type="dxa"/>
            <w:tcBorders>
              <w:top w:val="single" w:color="auto" w:sz="4" w:space="0"/>
              <w:left w:val="nil"/>
              <w:bottom w:val="single" w:color="auto" w:sz="4" w:space="0"/>
              <w:right w:val="single" w:color="auto" w:sz="4" w:space="0"/>
            </w:tcBorders>
            <w:noWrap w:val="0"/>
            <w:vAlign w:val="center"/>
          </w:tcPr>
          <w:p w14:paraId="543591EC">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lang w:val="en-US" w:eastAsia="zh-CN"/>
              </w:rPr>
            </w:pPr>
            <w:r>
              <w:rPr>
                <w:rFonts w:hint="eastAsia" w:ascii="宋体" w:hAnsi="宋体" w:eastAsia="宋体"/>
                <w:b/>
                <w:bCs/>
                <w:color w:val="auto"/>
                <w:sz w:val="24"/>
                <w:szCs w:val="24"/>
                <w:highlight w:val="none"/>
                <w:lang w:val="en-US" w:eastAsia="zh-CN"/>
              </w:rPr>
              <w:t>电   话</w:t>
            </w:r>
          </w:p>
        </w:tc>
        <w:tc>
          <w:tcPr>
            <w:tcW w:w="3299" w:type="dxa"/>
            <w:tcBorders>
              <w:top w:val="single" w:color="auto" w:sz="4" w:space="0"/>
              <w:left w:val="nil"/>
              <w:bottom w:val="single" w:color="auto" w:sz="4" w:space="0"/>
              <w:right w:val="single" w:color="auto" w:sz="4" w:space="0"/>
            </w:tcBorders>
            <w:noWrap w:val="0"/>
            <w:vAlign w:val="center"/>
          </w:tcPr>
          <w:p w14:paraId="4BB22A82">
            <w:pPr>
              <w:pStyle w:val="8"/>
              <w:keepNext w:val="0"/>
              <w:keepLines w:val="0"/>
              <w:suppressLineNumbers w:val="0"/>
              <w:spacing w:before="0" w:beforeAutospacing="0" w:after="0" w:afterAutospacing="0"/>
              <w:ind w:left="0" w:right="0"/>
              <w:rPr>
                <w:rFonts w:hint="default" w:ascii="宋体" w:hAnsi="宋体" w:eastAsia="宋体"/>
                <w:color w:val="auto"/>
                <w:kern w:val="0"/>
                <w:sz w:val="24"/>
                <w:highlight w:val="none"/>
                <w:lang w:val="en-US" w:eastAsia="zh-CN"/>
              </w:rPr>
            </w:pPr>
          </w:p>
        </w:tc>
      </w:tr>
      <w:tr w14:paraId="2AC05703">
        <w:tblPrEx>
          <w:tblCellMar>
            <w:top w:w="0" w:type="dxa"/>
            <w:left w:w="108" w:type="dxa"/>
            <w:bottom w:w="0" w:type="dxa"/>
            <w:right w:w="108" w:type="dxa"/>
          </w:tblCellMar>
        </w:tblPrEx>
        <w:trPr>
          <w:trHeight w:val="746" w:hRule="atLeast"/>
          <w:jc w:val="center"/>
        </w:trPr>
        <w:tc>
          <w:tcPr>
            <w:tcW w:w="1442" w:type="dxa"/>
            <w:tcBorders>
              <w:top w:val="single" w:color="auto" w:sz="4" w:space="0"/>
              <w:left w:val="single" w:color="auto" w:sz="4" w:space="0"/>
              <w:bottom w:val="single" w:color="auto" w:sz="4" w:space="0"/>
              <w:right w:val="single" w:color="auto" w:sz="4" w:space="0"/>
            </w:tcBorders>
            <w:noWrap w:val="0"/>
            <w:vAlign w:val="center"/>
          </w:tcPr>
          <w:p w14:paraId="11B09C2C">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lang w:val="en-US" w:eastAsia="zh-CN"/>
              </w:rPr>
            </w:pPr>
            <w:r>
              <w:rPr>
                <w:rFonts w:hint="eastAsia" w:ascii="宋体" w:hAnsi="宋体" w:eastAsia="宋体"/>
                <w:b/>
                <w:bCs/>
                <w:color w:val="auto"/>
                <w:sz w:val="24"/>
                <w:szCs w:val="24"/>
                <w:highlight w:val="none"/>
                <w:lang w:val="en-US" w:eastAsia="zh-CN"/>
              </w:rPr>
              <w:t>开户行</w:t>
            </w:r>
          </w:p>
        </w:tc>
        <w:tc>
          <w:tcPr>
            <w:tcW w:w="3121" w:type="dxa"/>
            <w:tcBorders>
              <w:top w:val="single" w:color="auto" w:sz="4" w:space="0"/>
              <w:left w:val="nil"/>
              <w:bottom w:val="single" w:color="auto" w:sz="4" w:space="0"/>
              <w:right w:val="single" w:color="auto" w:sz="4" w:space="0"/>
            </w:tcBorders>
            <w:noWrap w:val="0"/>
            <w:vAlign w:val="center"/>
          </w:tcPr>
          <w:p w14:paraId="71EBEFFE">
            <w:pPr>
              <w:pStyle w:val="8"/>
              <w:keepNext w:val="0"/>
              <w:keepLines w:val="0"/>
              <w:suppressLineNumbers w:val="0"/>
              <w:spacing w:before="0" w:beforeAutospacing="0" w:after="0" w:afterAutospacing="0"/>
              <w:ind w:left="0" w:right="0"/>
              <w:rPr>
                <w:rFonts w:hint="default" w:ascii="宋体" w:hAnsi="宋体" w:eastAsia="宋体"/>
                <w:color w:val="auto"/>
                <w:kern w:val="0"/>
                <w:sz w:val="24"/>
                <w:highlight w:val="none"/>
                <w:lang w:val="en-US" w:eastAsia="zh-CN"/>
              </w:rPr>
            </w:pPr>
            <w:r>
              <w:rPr>
                <w:rFonts w:hint="eastAsia" w:ascii="宋体" w:hAnsi="宋体" w:eastAsia="宋体"/>
                <w:color w:val="auto"/>
                <w:kern w:val="0"/>
                <w:sz w:val="24"/>
                <w:highlight w:val="none"/>
                <w:lang w:val="en-US" w:eastAsia="zh-CN"/>
              </w:rPr>
              <w:t>建行厦门自贸试验区航空港支行</w:t>
            </w:r>
          </w:p>
        </w:tc>
        <w:tc>
          <w:tcPr>
            <w:tcW w:w="1486" w:type="dxa"/>
            <w:tcBorders>
              <w:top w:val="single" w:color="auto" w:sz="4" w:space="0"/>
              <w:left w:val="nil"/>
              <w:bottom w:val="single" w:color="auto" w:sz="4" w:space="0"/>
              <w:right w:val="single" w:color="auto" w:sz="4" w:space="0"/>
            </w:tcBorders>
            <w:noWrap w:val="0"/>
            <w:vAlign w:val="center"/>
          </w:tcPr>
          <w:p w14:paraId="20630259">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lang w:val="en-US" w:eastAsia="zh-CN"/>
              </w:rPr>
            </w:pPr>
            <w:r>
              <w:rPr>
                <w:rFonts w:hint="eastAsia" w:ascii="宋体" w:hAnsi="宋体" w:eastAsia="宋体"/>
                <w:b/>
                <w:bCs/>
                <w:color w:val="auto"/>
                <w:sz w:val="24"/>
                <w:szCs w:val="24"/>
                <w:highlight w:val="none"/>
                <w:lang w:val="en-US" w:eastAsia="zh-CN"/>
              </w:rPr>
              <w:t>开户行</w:t>
            </w:r>
          </w:p>
        </w:tc>
        <w:tc>
          <w:tcPr>
            <w:tcW w:w="3299" w:type="dxa"/>
            <w:tcBorders>
              <w:top w:val="single" w:color="auto" w:sz="4" w:space="0"/>
              <w:left w:val="nil"/>
              <w:bottom w:val="single" w:color="auto" w:sz="4" w:space="0"/>
              <w:right w:val="single" w:color="auto" w:sz="4" w:space="0"/>
            </w:tcBorders>
            <w:noWrap w:val="0"/>
            <w:vAlign w:val="center"/>
          </w:tcPr>
          <w:p w14:paraId="394C2516">
            <w:pPr>
              <w:keepNext w:val="0"/>
              <w:keepLines w:val="0"/>
              <w:suppressLineNumbers w:val="0"/>
              <w:autoSpaceDE w:val="0"/>
              <w:spacing w:before="0" w:beforeAutospacing="0" w:after="0" w:afterAutospacing="0" w:line="240" w:lineRule="atLeast"/>
              <w:ind w:left="0" w:right="0"/>
              <w:jc w:val="left"/>
              <w:rPr>
                <w:rFonts w:hint="default" w:ascii="宋体" w:hAnsi="宋体" w:eastAsia="宋体"/>
                <w:color w:val="auto"/>
                <w:kern w:val="0"/>
                <w:sz w:val="24"/>
                <w:szCs w:val="18"/>
                <w:highlight w:val="none"/>
              </w:rPr>
            </w:pPr>
          </w:p>
        </w:tc>
      </w:tr>
      <w:tr w14:paraId="1359475A">
        <w:tblPrEx>
          <w:tblCellMar>
            <w:top w:w="0" w:type="dxa"/>
            <w:left w:w="108" w:type="dxa"/>
            <w:bottom w:w="0" w:type="dxa"/>
            <w:right w:w="108" w:type="dxa"/>
          </w:tblCellMar>
        </w:tblPrEx>
        <w:trPr>
          <w:trHeight w:val="336" w:hRule="atLeast"/>
          <w:jc w:val="center"/>
        </w:trPr>
        <w:tc>
          <w:tcPr>
            <w:tcW w:w="1442" w:type="dxa"/>
            <w:tcBorders>
              <w:top w:val="single" w:color="auto" w:sz="4" w:space="0"/>
              <w:left w:val="single" w:color="auto" w:sz="4" w:space="0"/>
              <w:bottom w:val="single" w:color="auto" w:sz="4" w:space="0"/>
              <w:right w:val="single" w:color="auto" w:sz="4" w:space="0"/>
            </w:tcBorders>
            <w:noWrap w:val="0"/>
            <w:vAlign w:val="center"/>
          </w:tcPr>
          <w:p w14:paraId="17F08844">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lang w:val="en-US" w:eastAsia="zh-CN"/>
              </w:rPr>
            </w:pPr>
            <w:r>
              <w:rPr>
                <w:rFonts w:hint="eastAsia" w:ascii="宋体" w:hAnsi="宋体" w:eastAsia="宋体"/>
                <w:b/>
                <w:bCs/>
                <w:color w:val="auto"/>
                <w:spacing w:val="20"/>
                <w:kern w:val="0"/>
                <w:sz w:val="24"/>
                <w:szCs w:val="24"/>
                <w:highlight w:val="none"/>
                <w:lang w:val="en-US" w:eastAsia="zh-CN"/>
              </w:rPr>
              <w:t>账  号</w:t>
            </w:r>
          </w:p>
        </w:tc>
        <w:tc>
          <w:tcPr>
            <w:tcW w:w="3121" w:type="dxa"/>
            <w:tcBorders>
              <w:top w:val="single" w:color="auto" w:sz="4" w:space="0"/>
              <w:left w:val="single" w:color="auto" w:sz="4" w:space="0"/>
              <w:bottom w:val="single" w:color="auto" w:sz="4" w:space="0"/>
              <w:right w:val="single" w:color="auto" w:sz="4" w:space="0"/>
            </w:tcBorders>
            <w:noWrap w:val="0"/>
            <w:vAlign w:val="center"/>
          </w:tcPr>
          <w:p w14:paraId="798C54E6">
            <w:pPr>
              <w:pStyle w:val="8"/>
              <w:keepNext w:val="0"/>
              <w:keepLines w:val="0"/>
              <w:suppressLineNumbers w:val="0"/>
              <w:spacing w:before="0" w:beforeAutospacing="0" w:after="0" w:afterAutospacing="0"/>
              <w:ind w:left="0" w:right="0"/>
              <w:rPr>
                <w:rFonts w:hint="default" w:ascii="宋体" w:hAnsi="宋体" w:eastAsia="宋体"/>
                <w:color w:val="auto"/>
                <w:kern w:val="0"/>
                <w:sz w:val="24"/>
                <w:highlight w:val="none"/>
                <w:lang w:val="en-US" w:eastAsia="zh-CN"/>
              </w:rPr>
            </w:pPr>
            <w:r>
              <w:rPr>
                <w:rFonts w:hint="eastAsia" w:ascii="宋体" w:hAnsi="宋体" w:eastAsia="宋体"/>
                <w:color w:val="auto"/>
                <w:kern w:val="0"/>
                <w:sz w:val="24"/>
                <w:highlight w:val="none"/>
                <w:lang w:val="en-US" w:eastAsia="zh-CN"/>
              </w:rPr>
              <w:t>35101570201052503924</w:t>
            </w:r>
          </w:p>
        </w:tc>
        <w:tc>
          <w:tcPr>
            <w:tcW w:w="1486" w:type="dxa"/>
            <w:tcBorders>
              <w:top w:val="single" w:color="auto" w:sz="4" w:space="0"/>
              <w:left w:val="nil"/>
              <w:bottom w:val="single" w:color="auto" w:sz="4" w:space="0"/>
              <w:right w:val="single" w:color="auto" w:sz="4" w:space="0"/>
            </w:tcBorders>
            <w:noWrap w:val="0"/>
            <w:vAlign w:val="center"/>
          </w:tcPr>
          <w:p w14:paraId="00CEBB68">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lang w:val="en-US" w:eastAsia="zh-CN"/>
              </w:rPr>
            </w:pPr>
            <w:r>
              <w:rPr>
                <w:rFonts w:hint="eastAsia" w:ascii="宋体" w:hAnsi="宋体" w:eastAsia="宋体"/>
                <w:b/>
                <w:bCs/>
                <w:color w:val="auto"/>
                <w:spacing w:val="20"/>
                <w:kern w:val="0"/>
                <w:sz w:val="24"/>
                <w:szCs w:val="24"/>
                <w:highlight w:val="none"/>
                <w:lang w:val="en-US" w:eastAsia="zh-CN"/>
              </w:rPr>
              <w:t>账  号</w:t>
            </w:r>
          </w:p>
        </w:tc>
        <w:tc>
          <w:tcPr>
            <w:tcW w:w="3299" w:type="dxa"/>
            <w:tcBorders>
              <w:top w:val="single" w:color="auto" w:sz="4" w:space="0"/>
              <w:left w:val="nil"/>
              <w:bottom w:val="single" w:color="auto" w:sz="4" w:space="0"/>
              <w:right w:val="single" w:color="auto" w:sz="4" w:space="0"/>
            </w:tcBorders>
            <w:noWrap w:val="0"/>
            <w:vAlign w:val="center"/>
          </w:tcPr>
          <w:p w14:paraId="19447D1C">
            <w:pPr>
              <w:keepNext w:val="0"/>
              <w:keepLines w:val="0"/>
              <w:suppressLineNumbers w:val="0"/>
              <w:autoSpaceDE w:val="0"/>
              <w:spacing w:before="0" w:beforeAutospacing="0" w:after="0" w:afterAutospacing="0" w:line="360" w:lineRule="auto"/>
              <w:ind w:left="0" w:right="0"/>
              <w:jc w:val="left"/>
              <w:rPr>
                <w:rFonts w:hint="default" w:ascii="宋体" w:hAnsi="宋体" w:eastAsia="宋体"/>
                <w:color w:val="auto"/>
                <w:kern w:val="0"/>
                <w:sz w:val="24"/>
                <w:szCs w:val="18"/>
                <w:highlight w:val="none"/>
              </w:rPr>
            </w:pPr>
          </w:p>
        </w:tc>
      </w:tr>
      <w:tr w14:paraId="7CFFB559">
        <w:tblPrEx>
          <w:tblCellMar>
            <w:top w:w="0" w:type="dxa"/>
            <w:left w:w="108" w:type="dxa"/>
            <w:bottom w:w="0" w:type="dxa"/>
            <w:right w:w="108" w:type="dxa"/>
          </w:tblCellMar>
        </w:tblPrEx>
        <w:trPr>
          <w:trHeight w:val="465" w:hRule="atLeast"/>
          <w:jc w:val="center"/>
        </w:trPr>
        <w:tc>
          <w:tcPr>
            <w:tcW w:w="1442" w:type="dxa"/>
            <w:tcBorders>
              <w:top w:val="single" w:color="auto" w:sz="4" w:space="0"/>
              <w:left w:val="single" w:color="auto" w:sz="4" w:space="0"/>
              <w:bottom w:val="single" w:color="auto" w:sz="4" w:space="0"/>
              <w:right w:val="single" w:color="auto" w:sz="4" w:space="0"/>
            </w:tcBorders>
            <w:noWrap w:val="0"/>
            <w:vAlign w:val="center"/>
          </w:tcPr>
          <w:p w14:paraId="491D28EB">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lang w:val="en-US" w:eastAsia="zh-CN"/>
              </w:rPr>
            </w:pPr>
            <w:r>
              <w:rPr>
                <w:rFonts w:hint="eastAsia" w:ascii="宋体" w:hAnsi="宋体" w:eastAsia="宋体"/>
                <w:b/>
                <w:bCs/>
                <w:color w:val="auto"/>
                <w:sz w:val="24"/>
                <w:szCs w:val="24"/>
                <w:highlight w:val="none"/>
                <w:lang w:val="en-US" w:eastAsia="zh-CN"/>
              </w:rPr>
              <w:t>签订日期</w:t>
            </w:r>
          </w:p>
        </w:tc>
        <w:tc>
          <w:tcPr>
            <w:tcW w:w="3121" w:type="dxa"/>
            <w:tcBorders>
              <w:top w:val="single" w:color="auto" w:sz="4" w:space="0"/>
              <w:left w:val="single" w:color="auto" w:sz="4" w:space="0"/>
              <w:bottom w:val="single" w:color="auto" w:sz="4" w:space="0"/>
              <w:right w:val="single" w:color="auto" w:sz="4" w:space="0"/>
            </w:tcBorders>
            <w:noWrap w:val="0"/>
            <w:vAlign w:val="center"/>
          </w:tcPr>
          <w:p w14:paraId="687435B5">
            <w:pPr>
              <w:pStyle w:val="8"/>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lang w:val="en-US" w:eastAsia="zh-CN"/>
              </w:rPr>
            </w:pPr>
          </w:p>
        </w:tc>
        <w:tc>
          <w:tcPr>
            <w:tcW w:w="1486" w:type="dxa"/>
            <w:tcBorders>
              <w:top w:val="single" w:color="auto" w:sz="4" w:space="0"/>
              <w:left w:val="nil"/>
              <w:bottom w:val="single" w:color="auto" w:sz="4" w:space="0"/>
              <w:right w:val="single" w:color="auto" w:sz="4" w:space="0"/>
            </w:tcBorders>
            <w:noWrap w:val="0"/>
            <w:vAlign w:val="center"/>
          </w:tcPr>
          <w:p w14:paraId="081828DF">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lang w:val="en-US" w:eastAsia="zh-CN"/>
              </w:rPr>
            </w:pPr>
            <w:r>
              <w:rPr>
                <w:rFonts w:hint="eastAsia" w:ascii="宋体" w:hAnsi="宋体" w:eastAsia="宋体"/>
                <w:b/>
                <w:bCs/>
                <w:color w:val="auto"/>
                <w:sz w:val="24"/>
                <w:szCs w:val="24"/>
                <w:highlight w:val="none"/>
                <w:lang w:val="en-US" w:eastAsia="zh-CN"/>
              </w:rPr>
              <w:t>签订日期</w:t>
            </w:r>
          </w:p>
        </w:tc>
        <w:tc>
          <w:tcPr>
            <w:tcW w:w="3299" w:type="dxa"/>
            <w:tcBorders>
              <w:top w:val="single" w:color="auto" w:sz="4" w:space="0"/>
              <w:left w:val="nil"/>
              <w:bottom w:val="single" w:color="auto" w:sz="4" w:space="0"/>
              <w:right w:val="single" w:color="auto" w:sz="4" w:space="0"/>
            </w:tcBorders>
            <w:noWrap w:val="0"/>
            <w:vAlign w:val="center"/>
          </w:tcPr>
          <w:p w14:paraId="117FC6C5">
            <w:pPr>
              <w:pStyle w:val="8"/>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lang w:val="en-US" w:eastAsia="zh-CN"/>
              </w:rPr>
            </w:pPr>
          </w:p>
        </w:tc>
      </w:tr>
      <w:tr w14:paraId="0FC9FE2B">
        <w:tblPrEx>
          <w:tblCellMar>
            <w:top w:w="0" w:type="dxa"/>
            <w:left w:w="108" w:type="dxa"/>
            <w:bottom w:w="0" w:type="dxa"/>
            <w:right w:w="108" w:type="dxa"/>
          </w:tblCellMar>
        </w:tblPrEx>
        <w:trPr>
          <w:trHeight w:val="415" w:hRule="atLeast"/>
          <w:jc w:val="center"/>
        </w:trPr>
        <w:tc>
          <w:tcPr>
            <w:tcW w:w="4563" w:type="dxa"/>
            <w:gridSpan w:val="2"/>
            <w:vMerge w:val="restart"/>
            <w:tcBorders>
              <w:top w:val="single" w:color="auto" w:sz="4" w:space="0"/>
              <w:left w:val="nil"/>
              <w:bottom w:val="nil"/>
              <w:right w:val="single" w:color="auto" w:sz="4" w:space="0"/>
            </w:tcBorders>
            <w:noWrap w:val="0"/>
            <w:vAlign w:val="center"/>
          </w:tcPr>
          <w:p w14:paraId="190E0FA3">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lang w:val="en-US" w:eastAsia="zh-CN"/>
              </w:rPr>
            </w:pPr>
          </w:p>
        </w:tc>
        <w:tc>
          <w:tcPr>
            <w:tcW w:w="1486" w:type="dxa"/>
            <w:tcBorders>
              <w:top w:val="single" w:color="auto" w:sz="4" w:space="0"/>
              <w:left w:val="single" w:color="auto" w:sz="4" w:space="0"/>
              <w:bottom w:val="single" w:color="auto" w:sz="4" w:space="0"/>
              <w:right w:val="single" w:color="auto" w:sz="4" w:space="0"/>
            </w:tcBorders>
            <w:noWrap w:val="0"/>
            <w:vAlign w:val="center"/>
          </w:tcPr>
          <w:p w14:paraId="1DC9BC60">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lang w:val="en-US" w:eastAsia="zh-CN"/>
              </w:rPr>
            </w:pPr>
            <w:r>
              <w:rPr>
                <w:rFonts w:hint="eastAsia" w:ascii="宋体" w:hAnsi="宋体" w:eastAsia="宋体"/>
                <w:b/>
                <w:bCs/>
                <w:color w:val="auto"/>
                <w:sz w:val="24"/>
                <w:szCs w:val="24"/>
                <w:highlight w:val="none"/>
                <w:lang w:val="en-US" w:eastAsia="zh-CN"/>
              </w:rPr>
              <w:t>卖   方</w:t>
            </w:r>
          </w:p>
        </w:tc>
        <w:tc>
          <w:tcPr>
            <w:tcW w:w="3299" w:type="dxa"/>
            <w:tcBorders>
              <w:top w:val="single" w:color="auto" w:sz="4" w:space="0"/>
              <w:left w:val="nil"/>
              <w:bottom w:val="single" w:color="auto" w:sz="4" w:space="0"/>
              <w:right w:val="single" w:color="auto" w:sz="4" w:space="0"/>
            </w:tcBorders>
            <w:noWrap w:val="0"/>
            <w:vAlign w:val="center"/>
          </w:tcPr>
          <w:p w14:paraId="545BB22E">
            <w:pPr>
              <w:pStyle w:val="8"/>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lang w:val="en-US" w:eastAsia="zh-CN"/>
              </w:rPr>
            </w:pPr>
          </w:p>
        </w:tc>
      </w:tr>
      <w:tr w14:paraId="4861D307">
        <w:tblPrEx>
          <w:tblCellMar>
            <w:top w:w="0" w:type="dxa"/>
            <w:left w:w="108" w:type="dxa"/>
            <w:bottom w:w="0" w:type="dxa"/>
            <w:right w:w="108" w:type="dxa"/>
          </w:tblCellMar>
        </w:tblPrEx>
        <w:trPr>
          <w:trHeight w:val="552" w:hRule="atLeast"/>
          <w:jc w:val="center"/>
        </w:trPr>
        <w:tc>
          <w:tcPr>
            <w:tcW w:w="4563" w:type="dxa"/>
            <w:gridSpan w:val="2"/>
            <w:vMerge w:val="continue"/>
            <w:tcBorders>
              <w:top w:val="nil"/>
              <w:left w:val="nil"/>
              <w:bottom w:val="nil"/>
              <w:right w:val="single" w:color="auto" w:sz="4" w:space="0"/>
            </w:tcBorders>
            <w:noWrap w:val="0"/>
            <w:vAlign w:val="center"/>
          </w:tcPr>
          <w:p w14:paraId="602166CE">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lang w:val="en-US" w:eastAsia="zh-CN"/>
              </w:rPr>
            </w:pPr>
          </w:p>
        </w:tc>
        <w:tc>
          <w:tcPr>
            <w:tcW w:w="1486" w:type="dxa"/>
            <w:tcBorders>
              <w:top w:val="single" w:color="auto" w:sz="4" w:space="0"/>
              <w:left w:val="single" w:color="auto" w:sz="4" w:space="0"/>
              <w:bottom w:val="single" w:color="auto" w:sz="4" w:space="0"/>
              <w:right w:val="single" w:color="auto" w:sz="4" w:space="0"/>
            </w:tcBorders>
            <w:noWrap w:val="0"/>
            <w:vAlign w:val="center"/>
          </w:tcPr>
          <w:p w14:paraId="0CB5A500">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lang w:val="en-US" w:eastAsia="zh-CN"/>
              </w:rPr>
            </w:pPr>
            <w:r>
              <w:rPr>
                <w:rFonts w:hint="eastAsia" w:ascii="宋体" w:hAnsi="宋体" w:eastAsia="宋体"/>
                <w:b/>
                <w:bCs/>
                <w:color w:val="auto"/>
                <w:sz w:val="24"/>
                <w:szCs w:val="24"/>
                <w:highlight w:val="none"/>
                <w:lang w:val="en-US" w:eastAsia="zh-CN"/>
              </w:rPr>
              <w:t>单位地址</w:t>
            </w:r>
          </w:p>
        </w:tc>
        <w:tc>
          <w:tcPr>
            <w:tcW w:w="3299" w:type="dxa"/>
            <w:tcBorders>
              <w:top w:val="single" w:color="auto" w:sz="4" w:space="0"/>
              <w:left w:val="nil"/>
              <w:bottom w:val="single" w:color="auto" w:sz="4" w:space="0"/>
              <w:right w:val="single" w:color="auto" w:sz="4" w:space="0"/>
            </w:tcBorders>
            <w:noWrap w:val="0"/>
            <w:vAlign w:val="center"/>
          </w:tcPr>
          <w:p w14:paraId="15FC070A">
            <w:pPr>
              <w:pStyle w:val="8"/>
              <w:keepNext w:val="0"/>
              <w:keepLines w:val="0"/>
              <w:suppressLineNumbers w:val="0"/>
              <w:autoSpaceDE w:val="0"/>
              <w:spacing w:before="0" w:beforeAutospacing="0" w:after="0" w:afterAutospacing="0" w:line="240" w:lineRule="atLeast"/>
              <w:ind w:left="0" w:right="0"/>
              <w:rPr>
                <w:rFonts w:hint="default" w:ascii="宋体" w:hAnsi="宋体" w:eastAsia="宋体"/>
                <w:color w:val="auto"/>
                <w:sz w:val="24"/>
                <w:szCs w:val="24"/>
                <w:highlight w:val="none"/>
                <w:lang w:val="en-US" w:eastAsia="zh-CN"/>
              </w:rPr>
            </w:pPr>
          </w:p>
        </w:tc>
      </w:tr>
      <w:tr w14:paraId="39C157D1">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noWrap w:val="0"/>
            <w:vAlign w:val="center"/>
          </w:tcPr>
          <w:p w14:paraId="56002B70">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lang w:val="en-US" w:eastAsia="zh-CN"/>
              </w:rPr>
            </w:pPr>
          </w:p>
        </w:tc>
        <w:tc>
          <w:tcPr>
            <w:tcW w:w="1486" w:type="dxa"/>
            <w:tcBorders>
              <w:top w:val="single" w:color="auto" w:sz="4" w:space="0"/>
              <w:left w:val="single" w:color="auto" w:sz="4" w:space="0"/>
              <w:bottom w:val="single" w:color="auto" w:sz="4" w:space="0"/>
              <w:right w:val="single" w:color="auto" w:sz="4" w:space="0"/>
            </w:tcBorders>
            <w:noWrap w:val="0"/>
            <w:vAlign w:val="center"/>
          </w:tcPr>
          <w:p w14:paraId="1AB9FC9D">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lang w:val="en-US" w:eastAsia="zh-CN"/>
              </w:rPr>
            </w:pPr>
            <w:r>
              <w:rPr>
                <w:rFonts w:hint="eastAsia" w:ascii="宋体" w:hAnsi="宋体" w:eastAsia="宋体"/>
                <w:b/>
                <w:bCs/>
                <w:color w:val="auto"/>
                <w:sz w:val="24"/>
                <w:szCs w:val="24"/>
                <w:highlight w:val="none"/>
                <w:lang w:val="en-US" w:eastAsia="zh-CN"/>
              </w:rPr>
              <w:t>法定代表人</w:t>
            </w:r>
          </w:p>
        </w:tc>
        <w:tc>
          <w:tcPr>
            <w:tcW w:w="3299" w:type="dxa"/>
            <w:tcBorders>
              <w:top w:val="single" w:color="auto" w:sz="4" w:space="0"/>
              <w:left w:val="nil"/>
              <w:bottom w:val="single" w:color="auto" w:sz="4" w:space="0"/>
              <w:right w:val="single" w:color="auto" w:sz="4" w:space="0"/>
            </w:tcBorders>
            <w:noWrap w:val="0"/>
            <w:vAlign w:val="center"/>
          </w:tcPr>
          <w:p w14:paraId="26BDBA8D">
            <w:pPr>
              <w:pStyle w:val="8"/>
              <w:keepNext w:val="0"/>
              <w:keepLines w:val="0"/>
              <w:suppressLineNumbers w:val="0"/>
              <w:autoSpaceDE w:val="0"/>
              <w:spacing w:before="0" w:beforeAutospacing="0" w:after="0" w:afterAutospacing="0" w:line="240" w:lineRule="atLeast"/>
              <w:ind w:left="0" w:right="0"/>
              <w:rPr>
                <w:rFonts w:hint="default" w:ascii="宋体" w:hAnsi="宋体" w:eastAsia="宋体"/>
                <w:color w:val="auto"/>
                <w:sz w:val="24"/>
                <w:szCs w:val="24"/>
                <w:highlight w:val="none"/>
                <w:lang w:val="en-US" w:eastAsia="zh-CN"/>
              </w:rPr>
            </w:pPr>
          </w:p>
        </w:tc>
      </w:tr>
      <w:tr w14:paraId="044E7BE7">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noWrap w:val="0"/>
            <w:vAlign w:val="center"/>
          </w:tcPr>
          <w:p w14:paraId="4E47724C">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lang w:val="en-US" w:eastAsia="zh-CN"/>
              </w:rPr>
            </w:pPr>
          </w:p>
        </w:tc>
        <w:tc>
          <w:tcPr>
            <w:tcW w:w="1486" w:type="dxa"/>
            <w:tcBorders>
              <w:top w:val="single" w:color="auto" w:sz="4" w:space="0"/>
              <w:left w:val="single" w:color="auto" w:sz="4" w:space="0"/>
              <w:bottom w:val="single" w:color="auto" w:sz="4" w:space="0"/>
              <w:right w:val="single" w:color="auto" w:sz="4" w:space="0"/>
            </w:tcBorders>
            <w:noWrap w:val="0"/>
            <w:vAlign w:val="center"/>
          </w:tcPr>
          <w:p w14:paraId="7646F20E">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lang w:val="en-US" w:eastAsia="zh-CN"/>
              </w:rPr>
            </w:pPr>
            <w:r>
              <w:rPr>
                <w:rFonts w:hint="eastAsia" w:ascii="宋体" w:hAnsi="宋体" w:eastAsia="宋体"/>
                <w:b/>
                <w:bCs/>
                <w:color w:val="auto"/>
                <w:sz w:val="24"/>
                <w:szCs w:val="24"/>
                <w:highlight w:val="none"/>
                <w:lang w:val="en-US" w:eastAsia="zh-CN"/>
              </w:rPr>
              <w:t>签字代表</w:t>
            </w:r>
          </w:p>
        </w:tc>
        <w:tc>
          <w:tcPr>
            <w:tcW w:w="3299" w:type="dxa"/>
            <w:tcBorders>
              <w:top w:val="single" w:color="auto" w:sz="4" w:space="0"/>
              <w:left w:val="nil"/>
              <w:bottom w:val="single" w:color="auto" w:sz="4" w:space="0"/>
              <w:right w:val="single" w:color="auto" w:sz="4" w:space="0"/>
            </w:tcBorders>
            <w:noWrap w:val="0"/>
            <w:vAlign w:val="center"/>
          </w:tcPr>
          <w:p w14:paraId="68F069F8">
            <w:pPr>
              <w:pStyle w:val="8"/>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lang w:val="en-US" w:eastAsia="zh-CN"/>
              </w:rPr>
            </w:pPr>
          </w:p>
        </w:tc>
      </w:tr>
      <w:tr w14:paraId="3383DC91">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noWrap w:val="0"/>
            <w:vAlign w:val="center"/>
          </w:tcPr>
          <w:p w14:paraId="3BDC252D">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lang w:val="en-US" w:eastAsia="zh-CN"/>
              </w:rPr>
            </w:pPr>
          </w:p>
        </w:tc>
        <w:tc>
          <w:tcPr>
            <w:tcW w:w="1486" w:type="dxa"/>
            <w:tcBorders>
              <w:top w:val="single" w:color="auto" w:sz="4" w:space="0"/>
              <w:left w:val="single" w:color="auto" w:sz="4" w:space="0"/>
              <w:bottom w:val="single" w:color="auto" w:sz="4" w:space="0"/>
              <w:right w:val="single" w:color="auto" w:sz="4" w:space="0"/>
            </w:tcBorders>
            <w:noWrap w:val="0"/>
            <w:vAlign w:val="center"/>
          </w:tcPr>
          <w:p w14:paraId="79F5D78F">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lang w:val="en-US" w:eastAsia="zh-CN"/>
              </w:rPr>
            </w:pPr>
            <w:r>
              <w:rPr>
                <w:rFonts w:hint="eastAsia" w:ascii="宋体" w:hAnsi="宋体" w:eastAsia="宋体"/>
                <w:b/>
                <w:bCs/>
                <w:color w:val="auto"/>
                <w:sz w:val="24"/>
                <w:szCs w:val="24"/>
                <w:highlight w:val="none"/>
                <w:lang w:val="en-US" w:eastAsia="zh-CN"/>
              </w:rPr>
              <w:t>电   话</w:t>
            </w:r>
          </w:p>
        </w:tc>
        <w:tc>
          <w:tcPr>
            <w:tcW w:w="3299" w:type="dxa"/>
            <w:tcBorders>
              <w:top w:val="single" w:color="auto" w:sz="4" w:space="0"/>
              <w:left w:val="nil"/>
              <w:bottom w:val="single" w:color="auto" w:sz="4" w:space="0"/>
              <w:right w:val="single" w:color="auto" w:sz="4" w:space="0"/>
            </w:tcBorders>
            <w:noWrap w:val="0"/>
            <w:vAlign w:val="center"/>
          </w:tcPr>
          <w:p w14:paraId="54ECD6F7">
            <w:pPr>
              <w:pStyle w:val="8"/>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lang w:val="en-US" w:eastAsia="zh-CN"/>
              </w:rPr>
            </w:pPr>
          </w:p>
        </w:tc>
      </w:tr>
      <w:tr w14:paraId="204AB45D">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noWrap w:val="0"/>
            <w:vAlign w:val="center"/>
          </w:tcPr>
          <w:p w14:paraId="230B91EE">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lang w:val="en-US" w:eastAsia="zh-CN"/>
              </w:rPr>
            </w:pPr>
          </w:p>
        </w:tc>
        <w:tc>
          <w:tcPr>
            <w:tcW w:w="1486" w:type="dxa"/>
            <w:tcBorders>
              <w:top w:val="single" w:color="auto" w:sz="4" w:space="0"/>
              <w:left w:val="single" w:color="auto" w:sz="4" w:space="0"/>
              <w:bottom w:val="single" w:color="auto" w:sz="4" w:space="0"/>
              <w:right w:val="single" w:color="auto" w:sz="4" w:space="0"/>
            </w:tcBorders>
            <w:noWrap w:val="0"/>
            <w:vAlign w:val="center"/>
          </w:tcPr>
          <w:p w14:paraId="1ED1B663">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lang w:val="en-US" w:eastAsia="zh-CN"/>
              </w:rPr>
            </w:pPr>
            <w:r>
              <w:rPr>
                <w:rFonts w:hint="eastAsia" w:ascii="宋体" w:hAnsi="宋体" w:eastAsia="宋体"/>
                <w:b/>
                <w:bCs/>
                <w:color w:val="auto"/>
                <w:sz w:val="24"/>
                <w:szCs w:val="24"/>
                <w:highlight w:val="none"/>
                <w:lang w:val="en-US" w:eastAsia="zh-CN"/>
              </w:rPr>
              <w:t>开户行</w:t>
            </w:r>
          </w:p>
        </w:tc>
        <w:tc>
          <w:tcPr>
            <w:tcW w:w="3299" w:type="dxa"/>
            <w:tcBorders>
              <w:top w:val="single" w:color="auto" w:sz="4" w:space="0"/>
              <w:left w:val="nil"/>
              <w:bottom w:val="single" w:color="auto" w:sz="4" w:space="0"/>
              <w:right w:val="single" w:color="auto" w:sz="4" w:space="0"/>
            </w:tcBorders>
            <w:noWrap w:val="0"/>
            <w:vAlign w:val="center"/>
          </w:tcPr>
          <w:p w14:paraId="746A7409">
            <w:pPr>
              <w:pStyle w:val="8"/>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lang w:val="en-US" w:eastAsia="zh-CN"/>
              </w:rPr>
            </w:pPr>
          </w:p>
        </w:tc>
      </w:tr>
      <w:tr w14:paraId="32FBD765">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noWrap w:val="0"/>
            <w:vAlign w:val="center"/>
          </w:tcPr>
          <w:p w14:paraId="52852BBA">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lang w:val="en-US" w:eastAsia="zh-CN"/>
              </w:rPr>
            </w:pPr>
          </w:p>
        </w:tc>
        <w:tc>
          <w:tcPr>
            <w:tcW w:w="1486" w:type="dxa"/>
            <w:tcBorders>
              <w:top w:val="single" w:color="auto" w:sz="4" w:space="0"/>
              <w:left w:val="single" w:color="auto" w:sz="4" w:space="0"/>
              <w:bottom w:val="single" w:color="auto" w:sz="4" w:space="0"/>
              <w:right w:val="single" w:color="auto" w:sz="4" w:space="0"/>
            </w:tcBorders>
            <w:noWrap w:val="0"/>
            <w:vAlign w:val="center"/>
          </w:tcPr>
          <w:p w14:paraId="248B5A56">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lang w:val="en-US" w:eastAsia="zh-CN"/>
              </w:rPr>
            </w:pPr>
            <w:r>
              <w:rPr>
                <w:rFonts w:hint="eastAsia" w:ascii="宋体" w:hAnsi="宋体" w:eastAsia="宋体"/>
                <w:b/>
                <w:bCs/>
                <w:color w:val="auto"/>
                <w:spacing w:val="20"/>
                <w:kern w:val="0"/>
                <w:sz w:val="24"/>
                <w:szCs w:val="24"/>
                <w:highlight w:val="none"/>
                <w:lang w:val="en-US" w:eastAsia="zh-CN"/>
              </w:rPr>
              <w:t>账  号</w:t>
            </w:r>
          </w:p>
        </w:tc>
        <w:tc>
          <w:tcPr>
            <w:tcW w:w="3299" w:type="dxa"/>
            <w:tcBorders>
              <w:top w:val="single" w:color="auto" w:sz="4" w:space="0"/>
              <w:left w:val="nil"/>
              <w:bottom w:val="single" w:color="auto" w:sz="4" w:space="0"/>
              <w:right w:val="single" w:color="auto" w:sz="4" w:space="0"/>
            </w:tcBorders>
            <w:noWrap w:val="0"/>
            <w:vAlign w:val="center"/>
          </w:tcPr>
          <w:p w14:paraId="32F0CD23">
            <w:pPr>
              <w:pStyle w:val="8"/>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lang w:val="en-US" w:eastAsia="zh-CN"/>
              </w:rPr>
            </w:pPr>
          </w:p>
        </w:tc>
      </w:tr>
      <w:tr w14:paraId="04C2ABB8">
        <w:tblPrEx>
          <w:tblCellMar>
            <w:top w:w="0" w:type="dxa"/>
            <w:left w:w="108" w:type="dxa"/>
            <w:bottom w:w="0" w:type="dxa"/>
            <w:right w:w="108" w:type="dxa"/>
          </w:tblCellMar>
        </w:tblPrEx>
        <w:trPr>
          <w:trHeight w:val="70" w:hRule="atLeast"/>
          <w:jc w:val="center"/>
        </w:trPr>
        <w:tc>
          <w:tcPr>
            <w:tcW w:w="4563" w:type="dxa"/>
            <w:gridSpan w:val="2"/>
            <w:vMerge w:val="continue"/>
            <w:tcBorders>
              <w:top w:val="nil"/>
              <w:left w:val="nil"/>
              <w:bottom w:val="nil"/>
              <w:right w:val="single" w:color="auto" w:sz="4" w:space="0"/>
            </w:tcBorders>
            <w:noWrap w:val="0"/>
            <w:vAlign w:val="center"/>
          </w:tcPr>
          <w:p w14:paraId="74EA5FCF">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lang w:val="en-US" w:eastAsia="zh-CN"/>
              </w:rPr>
            </w:pPr>
          </w:p>
        </w:tc>
        <w:tc>
          <w:tcPr>
            <w:tcW w:w="1486" w:type="dxa"/>
            <w:tcBorders>
              <w:top w:val="single" w:color="auto" w:sz="4" w:space="0"/>
              <w:left w:val="single" w:color="auto" w:sz="4" w:space="0"/>
              <w:bottom w:val="single" w:color="auto" w:sz="4" w:space="0"/>
              <w:right w:val="single" w:color="auto" w:sz="4" w:space="0"/>
            </w:tcBorders>
            <w:noWrap w:val="0"/>
            <w:vAlign w:val="center"/>
          </w:tcPr>
          <w:p w14:paraId="03500A53">
            <w:pPr>
              <w:pStyle w:val="8"/>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lang w:val="en-US" w:eastAsia="zh-CN"/>
              </w:rPr>
            </w:pPr>
            <w:r>
              <w:rPr>
                <w:rFonts w:hint="eastAsia" w:ascii="宋体" w:hAnsi="宋体" w:eastAsia="宋体"/>
                <w:b/>
                <w:bCs/>
                <w:color w:val="auto"/>
                <w:sz w:val="24"/>
                <w:szCs w:val="24"/>
                <w:highlight w:val="none"/>
                <w:lang w:val="en-US" w:eastAsia="zh-CN"/>
              </w:rPr>
              <w:t>签订日期</w:t>
            </w:r>
          </w:p>
        </w:tc>
        <w:tc>
          <w:tcPr>
            <w:tcW w:w="3299" w:type="dxa"/>
            <w:tcBorders>
              <w:top w:val="single" w:color="auto" w:sz="4" w:space="0"/>
              <w:left w:val="nil"/>
              <w:bottom w:val="single" w:color="auto" w:sz="4" w:space="0"/>
              <w:right w:val="single" w:color="auto" w:sz="4" w:space="0"/>
            </w:tcBorders>
            <w:noWrap w:val="0"/>
            <w:vAlign w:val="center"/>
          </w:tcPr>
          <w:p w14:paraId="0AA21F33">
            <w:pPr>
              <w:pStyle w:val="8"/>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lang w:val="en-US" w:eastAsia="zh-CN"/>
              </w:rPr>
            </w:pPr>
          </w:p>
        </w:tc>
      </w:tr>
    </w:tbl>
    <w:p w14:paraId="19D186C4">
      <w:pPr>
        <w:spacing w:line="360" w:lineRule="auto"/>
        <w:rPr>
          <w:rFonts w:ascii="宋体" w:hAnsi="宋体" w:eastAsia="宋体"/>
          <w:color w:val="auto"/>
          <w:sz w:val="24"/>
          <w:szCs w:val="24"/>
          <w:highlight w:val="none"/>
        </w:rPr>
      </w:pPr>
    </w:p>
    <w:p w14:paraId="58FA3FC3">
      <w:pPr>
        <w:spacing w:line="360" w:lineRule="auto"/>
        <w:rPr>
          <w:rFonts w:ascii="宋体" w:hAnsi="宋体" w:eastAsia="宋体"/>
          <w:color w:val="auto"/>
          <w:sz w:val="24"/>
          <w:szCs w:val="24"/>
          <w:highlight w:val="none"/>
        </w:rPr>
      </w:pPr>
    </w:p>
    <w:p w14:paraId="501AA71E">
      <w:pPr>
        <w:spacing w:line="360" w:lineRule="auto"/>
        <w:rPr>
          <w:rFonts w:ascii="宋体" w:hAnsi="宋体" w:eastAsia="宋体"/>
          <w:color w:val="auto"/>
          <w:sz w:val="24"/>
          <w:szCs w:val="24"/>
          <w:highlight w:val="none"/>
        </w:rPr>
      </w:pPr>
    </w:p>
    <w:p w14:paraId="58A522C9">
      <w:pPr>
        <w:spacing w:line="360" w:lineRule="auto"/>
        <w:rPr>
          <w:rFonts w:ascii="宋体" w:hAnsi="宋体" w:eastAsia="宋体"/>
          <w:color w:val="auto"/>
          <w:sz w:val="24"/>
          <w:szCs w:val="24"/>
          <w:highlight w:val="none"/>
        </w:rPr>
      </w:pPr>
    </w:p>
    <w:p w14:paraId="2C6EE16C">
      <w:pPr>
        <w:spacing w:line="360" w:lineRule="auto"/>
        <w:rPr>
          <w:rFonts w:ascii="宋体" w:hAnsi="宋体" w:eastAsia="宋体"/>
          <w:color w:val="auto"/>
          <w:sz w:val="24"/>
          <w:szCs w:val="24"/>
          <w:highlight w:val="none"/>
        </w:rPr>
        <w:sectPr>
          <w:pgSz w:w="11906" w:h="16838"/>
          <w:pgMar w:top="1440" w:right="1800" w:bottom="1440" w:left="1800" w:header="851" w:footer="992" w:gutter="0"/>
          <w:cols w:space="425" w:num="1"/>
          <w:docGrid w:type="lines" w:linePitch="312" w:charSpace="0"/>
        </w:sectPr>
      </w:pPr>
    </w:p>
    <w:p w14:paraId="134AFA75">
      <w:pPr>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附件</w:t>
      </w:r>
      <w:r>
        <w:rPr>
          <w:rFonts w:ascii="宋体" w:hAnsi="宋体" w:eastAsia="宋体"/>
          <w:b/>
          <w:bCs/>
          <w:color w:val="auto"/>
          <w:sz w:val="24"/>
          <w:szCs w:val="24"/>
          <w:highlight w:val="none"/>
        </w:rPr>
        <w:t>1</w:t>
      </w:r>
      <w:r>
        <w:rPr>
          <w:rFonts w:hint="eastAsia" w:ascii="宋体" w:hAnsi="宋体" w:eastAsia="宋体"/>
          <w:b/>
          <w:bCs/>
          <w:color w:val="auto"/>
          <w:sz w:val="24"/>
          <w:szCs w:val="24"/>
          <w:highlight w:val="none"/>
        </w:rPr>
        <w:t>：技术参数</w:t>
      </w:r>
    </w:p>
    <w:tbl>
      <w:tblPr>
        <w:tblStyle w:val="14"/>
        <w:tblW w:w="4843" w:type="pct"/>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1033"/>
        <w:gridCol w:w="1836"/>
        <w:gridCol w:w="915"/>
        <w:gridCol w:w="1403"/>
        <w:gridCol w:w="1005"/>
        <w:gridCol w:w="163"/>
        <w:gridCol w:w="1215"/>
      </w:tblGrid>
      <w:tr w14:paraId="64496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414" w:type="pct"/>
            <w:tcBorders>
              <w:top w:val="single" w:color="auto" w:sz="4" w:space="0"/>
              <w:left w:val="single" w:color="auto" w:sz="4" w:space="0"/>
              <w:bottom w:val="single" w:color="auto" w:sz="4" w:space="0"/>
              <w:right w:val="single" w:color="auto" w:sz="4" w:space="0"/>
            </w:tcBorders>
            <w:noWrap w:val="0"/>
            <w:vAlign w:val="center"/>
          </w:tcPr>
          <w:p w14:paraId="03E69185">
            <w:pPr>
              <w:keepNext w:val="0"/>
              <w:keepLines w:val="0"/>
              <w:suppressLineNumbers w:val="0"/>
              <w:spacing w:before="0" w:beforeAutospacing="0" w:after="0" w:afterAutospacing="0" w:line="240" w:lineRule="atLeast"/>
              <w:ind w:left="105" w:right="0" w:hanging="105" w:hangingChars="5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1-1</w:t>
            </w:r>
          </w:p>
        </w:tc>
        <w:tc>
          <w:tcPr>
            <w:tcW w:w="626" w:type="pct"/>
            <w:tcBorders>
              <w:top w:val="single" w:color="auto" w:sz="4" w:space="0"/>
              <w:left w:val="single" w:color="auto" w:sz="4" w:space="0"/>
              <w:bottom w:val="single" w:color="auto" w:sz="4" w:space="0"/>
              <w:right w:val="single" w:color="auto" w:sz="4" w:space="0"/>
            </w:tcBorders>
            <w:noWrap w:val="0"/>
            <w:vAlign w:val="center"/>
          </w:tcPr>
          <w:p w14:paraId="30DB953F">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货物名称</w:t>
            </w:r>
          </w:p>
        </w:tc>
        <w:tc>
          <w:tcPr>
            <w:tcW w:w="1112" w:type="pct"/>
            <w:tcBorders>
              <w:top w:val="single" w:color="auto" w:sz="4" w:space="0"/>
              <w:left w:val="single" w:color="auto" w:sz="4" w:space="0"/>
              <w:bottom w:val="single" w:color="auto" w:sz="4" w:space="0"/>
              <w:right w:val="single" w:color="auto" w:sz="4" w:space="0"/>
            </w:tcBorders>
            <w:noWrap w:val="0"/>
            <w:vAlign w:val="center"/>
          </w:tcPr>
          <w:p w14:paraId="4F47761F">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szCs w:val="21"/>
                <w:highlight w:val="none"/>
              </w:rPr>
            </w:pPr>
            <w:r>
              <w:rPr>
                <w:rFonts w:hint="default" w:ascii="宋体" w:hAnsi="宋体" w:eastAsia="宋体" w:cs="宋体"/>
                <w:color w:val="auto"/>
                <w:szCs w:val="21"/>
                <w:highlight w:val="none"/>
              </w:rPr>
              <w:t xml:space="preserve"> </w:t>
            </w:r>
          </w:p>
        </w:tc>
        <w:tc>
          <w:tcPr>
            <w:tcW w:w="554" w:type="pct"/>
            <w:tcBorders>
              <w:top w:val="single" w:color="auto" w:sz="4" w:space="0"/>
              <w:left w:val="single" w:color="auto" w:sz="4" w:space="0"/>
              <w:bottom w:val="single" w:color="auto" w:sz="4" w:space="0"/>
              <w:right w:val="single" w:color="auto" w:sz="4" w:space="0"/>
            </w:tcBorders>
            <w:noWrap w:val="0"/>
            <w:vAlign w:val="center"/>
          </w:tcPr>
          <w:p w14:paraId="3FA3AB70">
            <w:pPr>
              <w:keepNext w:val="0"/>
              <w:keepLines w:val="0"/>
              <w:suppressLineNumbers w:val="0"/>
              <w:spacing w:before="0" w:beforeAutospacing="0" w:after="0" w:afterAutospacing="0" w:line="240" w:lineRule="atLeast"/>
              <w:ind w:left="0" w:right="0" w:firstLine="105" w:firstLineChars="5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制造商</w:t>
            </w:r>
          </w:p>
        </w:tc>
        <w:tc>
          <w:tcPr>
            <w:tcW w:w="850" w:type="pct"/>
            <w:tcBorders>
              <w:top w:val="single" w:color="auto" w:sz="4" w:space="0"/>
              <w:left w:val="single" w:color="auto" w:sz="4" w:space="0"/>
              <w:bottom w:val="single" w:color="auto" w:sz="4" w:space="0"/>
              <w:right w:val="single" w:color="auto" w:sz="4" w:space="0"/>
            </w:tcBorders>
            <w:noWrap w:val="0"/>
            <w:vAlign w:val="center"/>
          </w:tcPr>
          <w:p w14:paraId="59B9023E">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szCs w:val="21"/>
                <w:highlight w:val="none"/>
              </w:rPr>
              <w:t xml:space="preserve"> </w:t>
            </w:r>
          </w:p>
        </w:tc>
        <w:tc>
          <w:tcPr>
            <w:tcW w:w="609" w:type="pct"/>
            <w:tcBorders>
              <w:top w:val="single" w:color="auto" w:sz="4" w:space="0"/>
              <w:left w:val="single" w:color="auto" w:sz="4" w:space="0"/>
              <w:bottom w:val="single" w:color="auto" w:sz="4" w:space="0"/>
              <w:right w:val="single" w:color="auto" w:sz="4" w:space="0"/>
            </w:tcBorders>
            <w:noWrap w:val="0"/>
            <w:vAlign w:val="center"/>
          </w:tcPr>
          <w:p w14:paraId="194539C0">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型号规格</w:t>
            </w:r>
          </w:p>
        </w:tc>
        <w:tc>
          <w:tcPr>
            <w:tcW w:w="834" w:type="pct"/>
            <w:gridSpan w:val="2"/>
            <w:tcBorders>
              <w:top w:val="single" w:color="auto" w:sz="4" w:space="0"/>
              <w:left w:val="single" w:color="auto" w:sz="4" w:space="0"/>
              <w:bottom w:val="single" w:color="auto" w:sz="4" w:space="0"/>
              <w:right w:val="single" w:color="auto" w:sz="4" w:space="0"/>
            </w:tcBorders>
            <w:noWrap w:val="0"/>
            <w:vAlign w:val="center"/>
          </w:tcPr>
          <w:p w14:paraId="1703E21A">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kern w:val="0"/>
                <w:szCs w:val="21"/>
                <w:highlight w:val="none"/>
              </w:rPr>
            </w:pPr>
            <w:r>
              <w:rPr>
                <w:rFonts w:hint="default" w:ascii="宋体" w:hAnsi="宋体" w:eastAsia="宋体" w:cs="宋体"/>
                <w:color w:val="auto"/>
                <w:kern w:val="0"/>
                <w:szCs w:val="21"/>
                <w:highlight w:val="none"/>
              </w:rPr>
              <w:t xml:space="preserve"> </w:t>
            </w:r>
          </w:p>
        </w:tc>
      </w:tr>
      <w:tr w14:paraId="70C52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5000" w:type="pct"/>
            <w:gridSpan w:val="8"/>
            <w:tcBorders>
              <w:top w:val="single" w:color="auto" w:sz="4" w:space="0"/>
              <w:left w:val="single" w:color="auto" w:sz="4" w:space="0"/>
              <w:bottom w:val="single" w:color="auto" w:sz="4" w:space="0"/>
              <w:right w:val="single" w:color="auto" w:sz="4" w:space="0"/>
            </w:tcBorders>
            <w:noWrap w:val="0"/>
            <w:vAlign w:val="center"/>
          </w:tcPr>
          <w:p w14:paraId="658F94B0">
            <w:pPr>
              <w:keepNext w:val="0"/>
              <w:keepLines w:val="0"/>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r>
              <w:rPr>
                <w:rFonts w:hint="eastAsia" w:ascii="宋体" w:hAnsi="宋体" w:eastAsia="宋体" w:cs="宋体"/>
                <w:color w:val="auto"/>
                <w:szCs w:val="21"/>
                <w:highlight w:val="none"/>
              </w:rPr>
              <w:t>参数详情：</w:t>
            </w:r>
          </w:p>
          <w:p w14:paraId="65A9FE42">
            <w:pPr>
              <w:keepNext w:val="0"/>
              <w:keepLines w:val="0"/>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p>
          <w:p w14:paraId="299B6CC7">
            <w:pPr>
              <w:keepNext w:val="0"/>
              <w:keepLines w:val="0"/>
              <w:suppressLineNumbers w:val="0"/>
              <w:spacing w:before="0" w:beforeAutospacing="0" w:after="0" w:afterAutospacing="0" w:line="240" w:lineRule="atLeast"/>
              <w:ind w:left="0" w:right="0"/>
              <w:rPr>
                <w:rFonts w:hint="default" w:ascii="宋体" w:hAnsi="宋体" w:eastAsia="宋体" w:cs="宋体"/>
                <w:color w:val="auto"/>
                <w:szCs w:val="21"/>
                <w:highlight w:val="none"/>
              </w:rPr>
            </w:pPr>
          </w:p>
          <w:p w14:paraId="499E7F5E">
            <w:pPr>
              <w:keepNext w:val="0"/>
              <w:keepLines w:val="0"/>
              <w:suppressLineNumbers w:val="0"/>
              <w:spacing w:before="0" w:beforeAutospacing="0" w:after="0" w:afterAutospacing="0" w:line="240" w:lineRule="atLeast"/>
              <w:ind w:left="0" w:right="0"/>
              <w:rPr>
                <w:rFonts w:hint="default" w:ascii="宋体" w:hAnsi="宋体" w:eastAsia="宋体" w:cs="宋体"/>
                <w:color w:val="auto"/>
                <w:szCs w:val="21"/>
                <w:highlight w:val="none"/>
              </w:rPr>
            </w:pPr>
          </w:p>
          <w:p w14:paraId="0290B92E">
            <w:pPr>
              <w:keepNext w:val="0"/>
              <w:keepLines w:val="0"/>
              <w:suppressLineNumbers w:val="0"/>
              <w:spacing w:before="0" w:beforeAutospacing="0" w:after="0" w:afterAutospacing="0" w:line="240" w:lineRule="atLeast"/>
              <w:ind w:left="0" w:right="0"/>
              <w:rPr>
                <w:rFonts w:hint="default" w:ascii="宋体" w:hAnsi="宋体" w:eastAsia="宋体" w:cs="宋体"/>
                <w:color w:val="auto"/>
                <w:szCs w:val="21"/>
                <w:highlight w:val="none"/>
              </w:rPr>
            </w:pPr>
          </w:p>
          <w:p w14:paraId="3D2B32B5">
            <w:pPr>
              <w:keepNext w:val="0"/>
              <w:keepLines w:val="0"/>
              <w:suppressLineNumbers w:val="0"/>
              <w:spacing w:before="0" w:beforeAutospacing="0" w:after="0" w:afterAutospacing="0" w:line="240" w:lineRule="atLeast"/>
              <w:ind w:left="0" w:right="0"/>
              <w:rPr>
                <w:rFonts w:hint="default" w:ascii="宋体" w:hAnsi="宋体" w:eastAsia="宋体" w:cs="宋体"/>
                <w:color w:val="auto"/>
                <w:szCs w:val="21"/>
                <w:highlight w:val="none"/>
              </w:rPr>
            </w:pPr>
          </w:p>
          <w:p w14:paraId="41EFC784">
            <w:pPr>
              <w:keepNext w:val="0"/>
              <w:keepLines w:val="0"/>
              <w:suppressLineNumbers w:val="0"/>
              <w:spacing w:before="0" w:beforeAutospacing="0" w:after="0" w:afterAutospacing="0" w:line="240" w:lineRule="atLeast"/>
              <w:ind w:left="0" w:right="0"/>
              <w:rPr>
                <w:rFonts w:hint="default" w:ascii="宋体" w:hAnsi="宋体" w:eastAsia="宋体" w:cs="宋体"/>
                <w:color w:val="auto"/>
                <w:szCs w:val="21"/>
                <w:highlight w:val="none"/>
              </w:rPr>
            </w:pPr>
          </w:p>
          <w:p w14:paraId="07109ECA">
            <w:pPr>
              <w:keepNext w:val="0"/>
              <w:keepLines w:val="0"/>
              <w:suppressLineNumbers w:val="0"/>
              <w:spacing w:before="0" w:beforeAutospacing="0" w:after="0" w:afterAutospacing="0" w:line="240" w:lineRule="atLeast"/>
              <w:ind w:left="0" w:right="0"/>
              <w:rPr>
                <w:rFonts w:hint="default" w:ascii="宋体" w:hAnsi="宋体" w:eastAsia="宋体" w:cs="宋体"/>
                <w:color w:val="auto"/>
                <w:szCs w:val="21"/>
                <w:highlight w:val="none"/>
              </w:rPr>
            </w:pPr>
          </w:p>
        </w:tc>
      </w:tr>
      <w:tr w14:paraId="0A700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trPr>
        <w:tc>
          <w:tcPr>
            <w:tcW w:w="414" w:type="pct"/>
            <w:tcBorders>
              <w:top w:val="single" w:color="auto" w:sz="4" w:space="0"/>
              <w:left w:val="single" w:color="auto" w:sz="4" w:space="0"/>
              <w:bottom w:val="single" w:color="auto" w:sz="4" w:space="0"/>
              <w:right w:val="single" w:color="auto" w:sz="4" w:space="0"/>
            </w:tcBorders>
            <w:noWrap w:val="0"/>
            <w:vAlign w:val="center"/>
          </w:tcPr>
          <w:p w14:paraId="759F8369">
            <w:pPr>
              <w:keepNext w:val="0"/>
              <w:keepLines w:val="0"/>
              <w:suppressLineNumbers w:val="0"/>
              <w:spacing w:before="0" w:beforeAutospacing="0" w:after="0" w:afterAutospacing="0" w:line="240" w:lineRule="atLeast"/>
              <w:ind w:left="105" w:right="0" w:hanging="105" w:hangingChars="5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1-2</w:t>
            </w:r>
          </w:p>
        </w:tc>
        <w:tc>
          <w:tcPr>
            <w:tcW w:w="626" w:type="pct"/>
            <w:tcBorders>
              <w:top w:val="single" w:color="auto" w:sz="4" w:space="0"/>
              <w:left w:val="single" w:color="auto" w:sz="4" w:space="0"/>
              <w:bottom w:val="single" w:color="auto" w:sz="4" w:space="0"/>
              <w:right w:val="single" w:color="auto" w:sz="4" w:space="0"/>
            </w:tcBorders>
            <w:noWrap w:val="0"/>
            <w:vAlign w:val="center"/>
          </w:tcPr>
          <w:p w14:paraId="3A6714D9">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货物名称</w:t>
            </w:r>
          </w:p>
        </w:tc>
        <w:tc>
          <w:tcPr>
            <w:tcW w:w="1112" w:type="pct"/>
            <w:tcBorders>
              <w:top w:val="single" w:color="auto" w:sz="4" w:space="0"/>
              <w:left w:val="single" w:color="auto" w:sz="4" w:space="0"/>
              <w:bottom w:val="single" w:color="auto" w:sz="4" w:space="0"/>
              <w:right w:val="single" w:color="auto" w:sz="4" w:space="0"/>
            </w:tcBorders>
            <w:noWrap w:val="0"/>
            <w:vAlign w:val="center"/>
          </w:tcPr>
          <w:p w14:paraId="1B62E3E4">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szCs w:val="21"/>
                <w:highlight w:val="none"/>
              </w:rPr>
            </w:pPr>
          </w:p>
        </w:tc>
        <w:tc>
          <w:tcPr>
            <w:tcW w:w="554" w:type="pct"/>
            <w:tcBorders>
              <w:top w:val="single" w:color="auto" w:sz="4" w:space="0"/>
              <w:left w:val="single" w:color="auto" w:sz="4" w:space="0"/>
              <w:bottom w:val="single" w:color="auto" w:sz="4" w:space="0"/>
              <w:right w:val="single" w:color="auto" w:sz="4" w:space="0"/>
            </w:tcBorders>
            <w:noWrap w:val="0"/>
            <w:vAlign w:val="center"/>
          </w:tcPr>
          <w:p w14:paraId="03D1B801">
            <w:pPr>
              <w:keepNext w:val="0"/>
              <w:keepLines w:val="0"/>
              <w:suppressLineNumbers w:val="0"/>
              <w:spacing w:before="0" w:beforeAutospacing="0" w:after="0" w:afterAutospacing="0" w:line="240" w:lineRule="atLeast"/>
              <w:ind w:left="0" w:right="0" w:firstLine="105" w:firstLineChars="5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制造商</w:t>
            </w:r>
          </w:p>
        </w:tc>
        <w:tc>
          <w:tcPr>
            <w:tcW w:w="850" w:type="pct"/>
            <w:tcBorders>
              <w:top w:val="single" w:color="auto" w:sz="4" w:space="0"/>
              <w:left w:val="single" w:color="auto" w:sz="4" w:space="0"/>
              <w:bottom w:val="single" w:color="auto" w:sz="4" w:space="0"/>
              <w:right w:val="single" w:color="auto" w:sz="4" w:space="0"/>
            </w:tcBorders>
            <w:noWrap w:val="0"/>
            <w:vAlign w:val="center"/>
          </w:tcPr>
          <w:p w14:paraId="2E26E83A">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kern w:val="0"/>
                <w:szCs w:val="21"/>
                <w:highlight w:val="none"/>
              </w:rPr>
            </w:pPr>
          </w:p>
        </w:tc>
        <w:tc>
          <w:tcPr>
            <w:tcW w:w="708" w:type="pct"/>
            <w:gridSpan w:val="2"/>
            <w:tcBorders>
              <w:top w:val="single" w:color="auto" w:sz="4" w:space="0"/>
              <w:left w:val="single" w:color="auto" w:sz="4" w:space="0"/>
              <w:bottom w:val="single" w:color="auto" w:sz="4" w:space="0"/>
              <w:right w:val="single" w:color="auto" w:sz="4" w:space="0"/>
            </w:tcBorders>
            <w:noWrap w:val="0"/>
            <w:vAlign w:val="center"/>
          </w:tcPr>
          <w:p w14:paraId="05D5AA70">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型号规格</w:t>
            </w:r>
          </w:p>
        </w:tc>
        <w:tc>
          <w:tcPr>
            <w:tcW w:w="735" w:type="pct"/>
            <w:tcBorders>
              <w:top w:val="single" w:color="auto" w:sz="4" w:space="0"/>
              <w:left w:val="single" w:color="auto" w:sz="4" w:space="0"/>
              <w:bottom w:val="single" w:color="auto" w:sz="4" w:space="0"/>
              <w:right w:val="single" w:color="auto" w:sz="4" w:space="0"/>
            </w:tcBorders>
            <w:noWrap w:val="0"/>
            <w:vAlign w:val="center"/>
          </w:tcPr>
          <w:p w14:paraId="75551C1F">
            <w:pPr>
              <w:keepNext w:val="0"/>
              <w:keepLines w:val="0"/>
              <w:suppressLineNumbers w:val="0"/>
              <w:spacing w:before="0" w:beforeAutospacing="0" w:after="0" w:afterAutospacing="0" w:line="240" w:lineRule="atLeast"/>
              <w:ind w:left="0" w:right="0"/>
              <w:jc w:val="center"/>
              <w:rPr>
                <w:rFonts w:hint="default" w:ascii="宋体" w:hAnsi="宋体" w:eastAsia="宋体" w:cs="宋体"/>
                <w:color w:val="auto"/>
                <w:kern w:val="0"/>
                <w:szCs w:val="21"/>
                <w:highlight w:val="none"/>
              </w:rPr>
            </w:pPr>
          </w:p>
        </w:tc>
      </w:tr>
      <w:tr w14:paraId="3EEBE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trPr>
        <w:tc>
          <w:tcPr>
            <w:tcW w:w="5000" w:type="pct"/>
            <w:gridSpan w:val="8"/>
            <w:tcBorders>
              <w:top w:val="single" w:color="auto" w:sz="4" w:space="0"/>
              <w:left w:val="single" w:color="auto" w:sz="4" w:space="0"/>
              <w:bottom w:val="single" w:color="auto" w:sz="4" w:space="0"/>
              <w:right w:val="single" w:color="auto" w:sz="4" w:space="0"/>
            </w:tcBorders>
            <w:noWrap w:val="0"/>
            <w:vAlign w:val="center"/>
          </w:tcPr>
          <w:p w14:paraId="2B96725A">
            <w:pPr>
              <w:keepNext w:val="0"/>
              <w:keepLines w:val="0"/>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r>
              <w:rPr>
                <w:rFonts w:hint="eastAsia" w:ascii="宋体" w:hAnsi="宋体" w:eastAsia="宋体" w:cs="宋体"/>
                <w:color w:val="auto"/>
                <w:szCs w:val="21"/>
                <w:highlight w:val="none"/>
              </w:rPr>
              <w:t>参数详情：</w:t>
            </w:r>
          </w:p>
          <w:p w14:paraId="1065E708">
            <w:pPr>
              <w:keepNext w:val="0"/>
              <w:keepLines w:val="0"/>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p>
          <w:p w14:paraId="1E21AE55">
            <w:pPr>
              <w:keepNext w:val="0"/>
              <w:keepLines w:val="0"/>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p>
          <w:p w14:paraId="01AECC2B">
            <w:pPr>
              <w:keepNext w:val="0"/>
              <w:keepLines w:val="0"/>
              <w:widowControl/>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p>
          <w:p w14:paraId="188EFA7C">
            <w:pPr>
              <w:keepNext w:val="0"/>
              <w:keepLines w:val="0"/>
              <w:widowControl/>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p>
          <w:p w14:paraId="650B9A46">
            <w:pPr>
              <w:keepNext w:val="0"/>
              <w:keepLines w:val="0"/>
              <w:widowControl/>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p>
          <w:p w14:paraId="580E0DB1">
            <w:pPr>
              <w:keepNext w:val="0"/>
              <w:keepLines w:val="0"/>
              <w:widowControl/>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p>
          <w:p w14:paraId="48ECA783">
            <w:pPr>
              <w:keepNext w:val="0"/>
              <w:keepLines w:val="0"/>
              <w:widowControl/>
              <w:suppressLineNumbers w:val="0"/>
              <w:spacing w:before="0" w:beforeAutospacing="0" w:after="0" w:afterAutospacing="0" w:line="240" w:lineRule="atLeast"/>
              <w:ind w:left="0" w:right="0"/>
              <w:jc w:val="left"/>
              <w:rPr>
                <w:rFonts w:hint="default" w:ascii="宋体" w:hAnsi="宋体" w:eastAsia="宋体" w:cs="宋体"/>
                <w:color w:val="auto"/>
                <w:szCs w:val="21"/>
                <w:highlight w:val="none"/>
              </w:rPr>
            </w:pPr>
          </w:p>
        </w:tc>
      </w:tr>
    </w:tbl>
    <w:p w14:paraId="1BB62FDF">
      <w:pPr>
        <w:spacing w:line="360" w:lineRule="auto"/>
        <w:rPr>
          <w:rFonts w:ascii="宋体" w:hAnsi="宋体" w:eastAsia="宋体"/>
          <w:color w:val="auto"/>
          <w:sz w:val="24"/>
          <w:szCs w:val="24"/>
          <w:highlight w:val="none"/>
        </w:rPr>
      </w:pPr>
    </w:p>
    <w:p w14:paraId="592E404A">
      <w:pPr>
        <w:rPr>
          <w:rFonts w:ascii="宋体" w:hAnsi="宋体" w:eastAsia="宋体"/>
          <w:color w:val="auto"/>
          <w:sz w:val="24"/>
          <w:szCs w:val="24"/>
          <w:highlight w:val="none"/>
        </w:rPr>
        <w:sectPr>
          <w:pgSz w:w="11906" w:h="16838"/>
          <w:pgMar w:top="1440" w:right="1800" w:bottom="1440" w:left="1800" w:header="851" w:footer="992" w:gutter="0"/>
          <w:cols w:space="425" w:num="1"/>
          <w:docGrid w:type="lines" w:linePitch="312" w:charSpace="0"/>
        </w:sectPr>
      </w:pPr>
    </w:p>
    <w:p w14:paraId="0F80097E">
      <w:pPr>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附件</w:t>
      </w:r>
      <w:r>
        <w:rPr>
          <w:rFonts w:ascii="宋体" w:hAnsi="宋体" w:eastAsia="宋体"/>
          <w:b/>
          <w:bCs/>
          <w:color w:val="auto"/>
          <w:sz w:val="24"/>
          <w:szCs w:val="24"/>
          <w:highlight w:val="none"/>
        </w:rPr>
        <w:t>2</w:t>
      </w:r>
      <w:r>
        <w:rPr>
          <w:rFonts w:hint="eastAsia" w:ascii="宋体" w:hAnsi="宋体" w:eastAsia="宋体"/>
          <w:b/>
          <w:bCs/>
          <w:color w:val="auto"/>
          <w:sz w:val="24"/>
          <w:szCs w:val="24"/>
          <w:highlight w:val="none"/>
        </w:rPr>
        <w:t>：服务考核细则</w:t>
      </w:r>
    </w:p>
    <w:p w14:paraId="1A8BFC6B">
      <w:pPr>
        <w:rPr>
          <w:rFonts w:ascii="宋体" w:hAnsi="宋体" w:eastAsia="宋体"/>
          <w:color w:val="auto"/>
          <w:sz w:val="24"/>
          <w:szCs w:val="24"/>
          <w:highlight w:val="none"/>
        </w:rPr>
      </w:pPr>
    </w:p>
    <w:p w14:paraId="654BF53B">
      <w:pPr>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保修期间，买方将定期对最终用户进行回访，跟踪了解设备的使用情况及卖方的售后服务质量，依照以上的服务承诺，制定以下考核细则。</w:t>
      </w:r>
    </w:p>
    <w:p w14:paraId="0CF404A0">
      <w:pPr>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1、合同期内每月考核一次；</w:t>
      </w:r>
    </w:p>
    <w:p w14:paraId="07AE45A5">
      <w:pPr>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2、每月10日前，买方将上月考核结果及涉及扣费的数据发给卖方核对，卖方在不影响到客户体验的情况下可以对考核结果提出异议，并要求在每月15日前书面反馈，逾期视为对买方的考核结果无异议。</w:t>
      </w:r>
    </w:p>
    <w:p w14:paraId="614524BD">
      <w:pPr>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3、买方有权从应付但未付给卖方的任一笔款项中，扣除考核结果中列明的违约金。</w:t>
      </w:r>
    </w:p>
    <w:p w14:paraId="1E0DECB2">
      <w:pPr>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4、具体违约金标准如下：</w:t>
      </w:r>
    </w:p>
    <w:p w14:paraId="179C90D8">
      <w:pPr>
        <w:rPr>
          <w:rFonts w:ascii="宋体" w:hAnsi="宋体" w:eastAsia="宋体"/>
          <w:color w:val="auto"/>
          <w:sz w:val="24"/>
          <w:szCs w:val="24"/>
          <w:highlight w:val="none"/>
        </w:rPr>
      </w:pPr>
    </w:p>
    <w:tbl>
      <w:tblPr>
        <w:tblStyle w:val="14"/>
        <w:tblW w:w="107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5"/>
        <w:gridCol w:w="719"/>
        <w:gridCol w:w="1314"/>
        <w:gridCol w:w="1038"/>
        <w:gridCol w:w="3257"/>
        <w:gridCol w:w="1787"/>
        <w:gridCol w:w="2139"/>
      </w:tblGrid>
      <w:tr w14:paraId="46B70E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5" w:type="dxa"/>
            <w:shd w:val="clear" w:color="auto" w:fill="auto"/>
            <w:noWrap/>
            <w:vAlign w:val="top"/>
          </w:tcPr>
          <w:p w14:paraId="11F6A4CB">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序号</w:t>
            </w:r>
          </w:p>
        </w:tc>
        <w:tc>
          <w:tcPr>
            <w:tcW w:w="719" w:type="dxa"/>
            <w:shd w:val="clear" w:color="auto" w:fill="auto"/>
            <w:noWrap w:val="0"/>
            <w:vAlign w:val="top"/>
          </w:tcPr>
          <w:p w14:paraId="1893D2F5">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考核项目</w:t>
            </w:r>
          </w:p>
        </w:tc>
        <w:tc>
          <w:tcPr>
            <w:tcW w:w="1314" w:type="dxa"/>
            <w:shd w:val="clear" w:color="auto" w:fill="auto"/>
            <w:noWrap w:val="0"/>
            <w:vAlign w:val="top"/>
          </w:tcPr>
          <w:p w14:paraId="561BE169">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考核说明</w:t>
            </w:r>
          </w:p>
        </w:tc>
        <w:tc>
          <w:tcPr>
            <w:tcW w:w="1038" w:type="dxa"/>
            <w:shd w:val="clear" w:color="auto" w:fill="auto"/>
            <w:noWrap w:val="0"/>
            <w:vAlign w:val="top"/>
          </w:tcPr>
          <w:p w14:paraId="59296ADE">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涉及服务环节</w:t>
            </w:r>
          </w:p>
        </w:tc>
        <w:tc>
          <w:tcPr>
            <w:tcW w:w="3257" w:type="dxa"/>
            <w:shd w:val="clear" w:color="auto" w:fill="auto"/>
            <w:noWrap w:val="0"/>
            <w:vAlign w:val="top"/>
          </w:tcPr>
          <w:p w14:paraId="02502B5C">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供应商服务要求</w:t>
            </w:r>
          </w:p>
        </w:tc>
        <w:tc>
          <w:tcPr>
            <w:tcW w:w="1787" w:type="dxa"/>
            <w:shd w:val="clear" w:color="auto" w:fill="auto"/>
            <w:noWrap/>
            <w:vAlign w:val="top"/>
          </w:tcPr>
          <w:p w14:paraId="1C3C4D39">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考核标准</w:t>
            </w:r>
          </w:p>
        </w:tc>
        <w:tc>
          <w:tcPr>
            <w:tcW w:w="2139" w:type="dxa"/>
            <w:shd w:val="clear" w:color="auto" w:fill="auto"/>
            <w:noWrap/>
            <w:vAlign w:val="top"/>
          </w:tcPr>
          <w:p w14:paraId="4258E931">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考核金额</w:t>
            </w:r>
          </w:p>
        </w:tc>
      </w:tr>
      <w:tr w14:paraId="09E174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485" w:type="dxa"/>
            <w:shd w:val="clear" w:color="auto" w:fill="auto"/>
            <w:noWrap/>
            <w:vAlign w:val="top"/>
          </w:tcPr>
          <w:p w14:paraId="0067CDA9">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w:t>
            </w:r>
          </w:p>
        </w:tc>
        <w:tc>
          <w:tcPr>
            <w:tcW w:w="719" w:type="dxa"/>
            <w:vMerge w:val="restart"/>
            <w:shd w:val="clear" w:color="auto" w:fill="auto"/>
            <w:noWrap w:val="0"/>
            <w:vAlign w:val="top"/>
          </w:tcPr>
          <w:p w14:paraId="19E876B9">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服务效率</w:t>
            </w:r>
          </w:p>
        </w:tc>
        <w:tc>
          <w:tcPr>
            <w:tcW w:w="1314" w:type="dxa"/>
            <w:vMerge w:val="restart"/>
            <w:shd w:val="clear" w:color="auto" w:fill="auto"/>
            <w:noWrap w:val="0"/>
            <w:vAlign w:val="top"/>
          </w:tcPr>
          <w:p w14:paraId="21C8E55A">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1、服务响应不及时或服务时间超出约定时间，且未提前与最终用户做好沟通，或未经最终用户同意。</w:t>
            </w:r>
          </w:p>
          <w:p w14:paraId="61087191">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2、未在规定时间内解决最终用户的正当需求，最终用户要求但未提供备用机；</w:t>
            </w:r>
          </w:p>
          <w:p w14:paraId="68A5D7FC">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3、设备维修时超出约定时间仍未修复的；</w:t>
            </w:r>
          </w:p>
          <w:p w14:paraId="788DF38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4、需要提供服务的设备超出一台且满足上述任一条件的，按200元/台/次考核</w:t>
            </w:r>
          </w:p>
        </w:tc>
        <w:tc>
          <w:tcPr>
            <w:tcW w:w="1038" w:type="dxa"/>
            <w:shd w:val="clear" w:color="auto" w:fill="auto"/>
            <w:noWrap w:val="0"/>
            <w:vAlign w:val="top"/>
          </w:tcPr>
          <w:p w14:paraId="03CB8CE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电话响应时效</w:t>
            </w:r>
          </w:p>
        </w:tc>
        <w:tc>
          <w:tcPr>
            <w:tcW w:w="3257" w:type="dxa"/>
            <w:shd w:val="clear" w:color="auto" w:fill="auto"/>
            <w:noWrap w:val="0"/>
            <w:vAlign w:val="top"/>
          </w:tcPr>
          <w:p w14:paraId="0AB57E3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收到万翔客服专员通知后，在1个工作小时内联系客户约定上门时间；并及时将约定时间反馈给万翔客服专员。</w:t>
            </w:r>
          </w:p>
        </w:tc>
        <w:tc>
          <w:tcPr>
            <w:tcW w:w="1787" w:type="dxa"/>
            <w:shd w:val="clear" w:color="auto" w:fill="auto"/>
            <w:noWrap w:val="0"/>
            <w:vAlign w:val="top"/>
          </w:tcPr>
          <w:p w14:paraId="7801F85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万翔客服专员报单后1个工作小时内</w:t>
            </w:r>
          </w:p>
        </w:tc>
        <w:tc>
          <w:tcPr>
            <w:tcW w:w="2139" w:type="dxa"/>
            <w:shd w:val="clear" w:color="auto" w:fill="auto"/>
            <w:noWrap w:val="0"/>
            <w:vAlign w:val="top"/>
          </w:tcPr>
          <w:p w14:paraId="1EF78DE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29FB4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5" w:type="dxa"/>
            <w:shd w:val="clear" w:color="auto" w:fill="auto"/>
            <w:noWrap/>
            <w:vAlign w:val="top"/>
          </w:tcPr>
          <w:p w14:paraId="41C3B656">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w:t>
            </w:r>
          </w:p>
        </w:tc>
        <w:tc>
          <w:tcPr>
            <w:tcW w:w="719" w:type="dxa"/>
            <w:vMerge w:val="continue"/>
            <w:shd w:val="clear" w:color="auto" w:fill="auto"/>
            <w:noWrap w:val="0"/>
            <w:vAlign w:val="top"/>
          </w:tcPr>
          <w:p w14:paraId="162D80B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shd w:val="clear" w:color="auto" w:fill="auto"/>
            <w:noWrap w:val="0"/>
            <w:vAlign w:val="top"/>
          </w:tcPr>
          <w:p w14:paraId="04A9049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restart"/>
            <w:shd w:val="clear" w:color="auto" w:fill="auto"/>
            <w:noWrap w:val="0"/>
            <w:vAlign w:val="top"/>
          </w:tcPr>
          <w:p w14:paraId="0278E4E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上门服务时效</w:t>
            </w:r>
          </w:p>
        </w:tc>
        <w:tc>
          <w:tcPr>
            <w:tcW w:w="3257" w:type="dxa"/>
            <w:vMerge w:val="restart"/>
            <w:shd w:val="clear" w:color="auto" w:fill="auto"/>
            <w:noWrap w:val="0"/>
            <w:vAlign w:val="top"/>
          </w:tcPr>
          <w:p w14:paraId="3E837BBD">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按与客户约定时间上门服务；</w:t>
            </w:r>
          </w:p>
          <w:p w14:paraId="4EB06EC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如特殊情况不能按约定时间上门，必须提前联系最终用户且征得最终用户的同意，同时重新预约上门服务时间，并务必保证按此约定时间上门。</w:t>
            </w:r>
          </w:p>
        </w:tc>
        <w:tc>
          <w:tcPr>
            <w:tcW w:w="1787" w:type="dxa"/>
            <w:shd w:val="clear" w:color="auto" w:fill="auto"/>
            <w:noWrap w:val="0"/>
            <w:vAlign w:val="top"/>
          </w:tcPr>
          <w:p w14:paraId="3656466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万翔客服专员报单后4个工作小时内</w:t>
            </w:r>
          </w:p>
        </w:tc>
        <w:tc>
          <w:tcPr>
            <w:tcW w:w="2139" w:type="dxa"/>
            <w:shd w:val="clear" w:color="auto" w:fill="auto"/>
            <w:noWrap w:val="0"/>
            <w:vAlign w:val="top"/>
          </w:tcPr>
          <w:p w14:paraId="1DAB888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3C7E17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6" w:hRule="atLeast"/>
          <w:jc w:val="center"/>
        </w:trPr>
        <w:tc>
          <w:tcPr>
            <w:tcW w:w="485" w:type="dxa"/>
            <w:shd w:val="clear" w:color="auto" w:fill="auto"/>
            <w:noWrap/>
            <w:vAlign w:val="top"/>
          </w:tcPr>
          <w:p w14:paraId="5DF5806D">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w:t>
            </w:r>
          </w:p>
        </w:tc>
        <w:tc>
          <w:tcPr>
            <w:tcW w:w="719" w:type="dxa"/>
            <w:vMerge w:val="continue"/>
            <w:shd w:val="clear" w:color="auto" w:fill="auto"/>
            <w:noWrap w:val="0"/>
            <w:vAlign w:val="top"/>
          </w:tcPr>
          <w:p w14:paraId="1C576C3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shd w:val="clear" w:color="auto" w:fill="auto"/>
            <w:noWrap w:val="0"/>
            <w:vAlign w:val="top"/>
          </w:tcPr>
          <w:p w14:paraId="542B21A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continue"/>
            <w:shd w:val="clear" w:color="auto" w:fill="auto"/>
            <w:noWrap w:val="0"/>
            <w:vAlign w:val="top"/>
          </w:tcPr>
          <w:p w14:paraId="2E0C997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3257" w:type="dxa"/>
            <w:vMerge w:val="continue"/>
            <w:shd w:val="clear" w:color="auto" w:fill="auto"/>
            <w:noWrap w:val="0"/>
            <w:vAlign w:val="top"/>
          </w:tcPr>
          <w:p w14:paraId="448320F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787" w:type="dxa"/>
            <w:shd w:val="clear" w:color="auto" w:fill="auto"/>
            <w:noWrap w:val="0"/>
            <w:vAlign w:val="top"/>
          </w:tcPr>
          <w:p w14:paraId="665E30B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因</w:t>
            </w:r>
            <w:r>
              <w:rPr>
                <w:rFonts w:hint="eastAsia" w:ascii="宋体" w:hAnsi="宋体" w:eastAsia="宋体" w:cs="宋体"/>
                <w:b/>
                <w:bCs/>
                <w:color w:val="auto"/>
                <w:kern w:val="0"/>
                <w:sz w:val="18"/>
                <w:szCs w:val="18"/>
                <w:highlight w:val="none"/>
              </w:rPr>
              <w:t>客户原因</w:t>
            </w:r>
            <w:r>
              <w:rPr>
                <w:rFonts w:hint="eastAsia" w:ascii="宋体" w:hAnsi="宋体" w:eastAsia="宋体" w:cs="宋体"/>
                <w:color w:val="auto"/>
                <w:kern w:val="0"/>
                <w:sz w:val="18"/>
                <w:szCs w:val="18"/>
                <w:highlight w:val="none"/>
              </w:rPr>
              <w:t>需延后上门时间并另外约定上门时间，需在承诺的时间内达到</w:t>
            </w:r>
          </w:p>
        </w:tc>
        <w:tc>
          <w:tcPr>
            <w:tcW w:w="2139" w:type="dxa"/>
            <w:shd w:val="clear" w:color="auto" w:fill="auto"/>
            <w:noWrap w:val="0"/>
            <w:vAlign w:val="top"/>
          </w:tcPr>
          <w:p w14:paraId="0BEA8C6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22DB45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6" w:hRule="atLeast"/>
          <w:jc w:val="center"/>
        </w:trPr>
        <w:tc>
          <w:tcPr>
            <w:tcW w:w="485" w:type="dxa"/>
            <w:shd w:val="clear" w:color="auto" w:fill="auto"/>
            <w:noWrap/>
            <w:vAlign w:val="top"/>
          </w:tcPr>
          <w:p w14:paraId="6A524E4F">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w:t>
            </w:r>
          </w:p>
        </w:tc>
        <w:tc>
          <w:tcPr>
            <w:tcW w:w="719" w:type="dxa"/>
            <w:vMerge w:val="continue"/>
            <w:shd w:val="clear" w:color="auto" w:fill="auto"/>
            <w:noWrap w:val="0"/>
            <w:vAlign w:val="top"/>
          </w:tcPr>
          <w:p w14:paraId="573E6E7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shd w:val="clear" w:color="auto" w:fill="auto"/>
            <w:noWrap w:val="0"/>
            <w:vAlign w:val="top"/>
          </w:tcPr>
          <w:p w14:paraId="5FE9148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restart"/>
            <w:shd w:val="clear" w:color="auto" w:fill="auto"/>
            <w:noWrap w:val="0"/>
            <w:vAlign w:val="top"/>
          </w:tcPr>
          <w:p w14:paraId="1EAED09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维修时效</w:t>
            </w:r>
          </w:p>
        </w:tc>
        <w:tc>
          <w:tcPr>
            <w:tcW w:w="3257" w:type="dxa"/>
            <w:shd w:val="clear" w:color="auto" w:fill="auto"/>
            <w:noWrap w:val="0"/>
            <w:vAlign w:val="top"/>
          </w:tcPr>
          <w:p w14:paraId="1B20F46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上门检测后需现场向最终用户说明故障情况并告知解决方案、如需调拨维修配件，需要告知最终用户配件更换时效并征得客户同意</w:t>
            </w:r>
          </w:p>
        </w:tc>
        <w:tc>
          <w:tcPr>
            <w:tcW w:w="1787" w:type="dxa"/>
            <w:shd w:val="clear" w:color="auto" w:fill="auto"/>
            <w:noWrap w:val="0"/>
            <w:vAlign w:val="top"/>
          </w:tcPr>
          <w:p w14:paraId="5BC1354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在承诺的时间内完成服务</w:t>
            </w:r>
          </w:p>
        </w:tc>
        <w:tc>
          <w:tcPr>
            <w:tcW w:w="2139" w:type="dxa"/>
            <w:shd w:val="clear" w:color="auto" w:fill="auto"/>
            <w:noWrap w:val="0"/>
            <w:vAlign w:val="top"/>
          </w:tcPr>
          <w:p w14:paraId="17A5C62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017D97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7" w:hRule="atLeast"/>
          <w:jc w:val="center"/>
        </w:trPr>
        <w:tc>
          <w:tcPr>
            <w:tcW w:w="485" w:type="dxa"/>
            <w:shd w:val="clear" w:color="auto" w:fill="auto"/>
            <w:noWrap/>
            <w:vAlign w:val="top"/>
          </w:tcPr>
          <w:p w14:paraId="584C692C">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w:t>
            </w:r>
          </w:p>
        </w:tc>
        <w:tc>
          <w:tcPr>
            <w:tcW w:w="719" w:type="dxa"/>
            <w:vMerge w:val="continue"/>
            <w:shd w:val="clear" w:color="auto" w:fill="auto"/>
            <w:noWrap w:val="0"/>
            <w:vAlign w:val="top"/>
          </w:tcPr>
          <w:p w14:paraId="6544BEA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shd w:val="clear" w:color="auto" w:fill="auto"/>
            <w:noWrap w:val="0"/>
            <w:vAlign w:val="top"/>
          </w:tcPr>
          <w:p w14:paraId="69CB434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continue"/>
            <w:shd w:val="clear" w:color="auto" w:fill="auto"/>
            <w:noWrap w:val="0"/>
            <w:vAlign w:val="top"/>
          </w:tcPr>
          <w:p w14:paraId="51CC3CF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3257" w:type="dxa"/>
            <w:shd w:val="clear" w:color="auto" w:fill="auto"/>
            <w:noWrap w:val="0"/>
            <w:vAlign w:val="top"/>
          </w:tcPr>
          <w:p w14:paraId="5FD33D4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如调拨配件时间长（超过2个工作日）、更换完配件仍无法使用、需要整机取走维修等问题导致客户无法使用，必须直接向客户说明情况并询问是否需要备用机，告知客户服务时效并在承诺的时间内完成相应的服务内容；服务商必须根据要求直接确定是否进入提供备用机或者退换机服务流程</w:t>
            </w:r>
          </w:p>
        </w:tc>
        <w:tc>
          <w:tcPr>
            <w:tcW w:w="1787" w:type="dxa"/>
            <w:shd w:val="clear" w:color="auto" w:fill="auto"/>
            <w:noWrap w:val="0"/>
            <w:vAlign w:val="top"/>
          </w:tcPr>
          <w:p w14:paraId="3115397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向客户说明情况，告知客户提供备用机和退换机的解决方案，同时告知客户服务时效，并在承诺的时间内完成相应的服务内容。</w:t>
            </w:r>
          </w:p>
        </w:tc>
        <w:tc>
          <w:tcPr>
            <w:tcW w:w="2139" w:type="dxa"/>
            <w:shd w:val="clear" w:color="auto" w:fill="auto"/>
            <w:noWrap w:val="0"/>
            <w:vAlign w:val="top"/>
          </w:tcPr>
          <w:p w14:paraId="4C6F286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7B15F3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jc w:val="center"/>
        </w:trPr>
        <w:tc>
          <w:tcPr>
            <w:tcW w:w="485" w:type="dxa"/>
            <w:shd w:val="clear" w:color="auto" w:fill="auto"/>
            <w:noWrap/>
            <w:vAlign w:val="top"/>
          </w:tcPr>
          <w:p w14:paraId="4B14505B">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6</w:t>
            </w:r>
          </w:p>
        </w:tc>
        <w:tc>
          <w:tcPr>
            <w:tcW w:w="719" w:type="dxa"/>
            <w:vMerge w:val="continue"/>
            <w:shd w:val="clear" w:color="auto" w:fill="auto"/>
            <w:noWrap w:val="0"/>
            <w:vAlign w:val="top"/>
          </w:tcPr>
          <w:p w14:paraId="27B29C7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shd w:val="clear" w:color="auto" w:fill="auto"/>
            <w:noWrap w:val="0"/>
            <w:vAlign w:val="top"/>
          </w:tcPr>
          <w:p w14:paraId="7E3955C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shd w:val="clear" w:color="auto" w:fill="auto"/>
            <w:noWrap w:val="0"/>
            <w:vAlign w:val="top"/>
          </w:tcPr>
          <w:p w14:paraId="61A7C3F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备用机提供时效</w:t>
            </w:r>
          </w:p>
        </w:tc>
        <w:tc>
          <w:tcPr>
            <w:tcW w:w="3257" w:type="dxa"/>
            <w:shd w:val="clear" w:color="auto" w:fill="auto"/>
            <w:noWrap w:val="0"/>
            <w:vAlign w:val="top"/>
          </w:tcPr>
          <w:p w14:paraId="023EBE6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服务商自行提供备用机，按与客户约定时间完成服务</w:t>
            </w:r>
          </w:p>
        </w:tc>
        <w:tc>
          <w:tcPr>
            <w:tcW w:w="1787" w:type="dxa"/>
            <w:shd w:val="clear" w:color="auto" w:fill="auto"/>
            <w:noWrap w:val="0"/>
            <w:vAlign w:val="top"/>
          </w:tcPr>
          <w:p w14:paraId="6B1E72E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客户确认使用备用机后在1个工作日内提供备机</w:t>
            </w:r>
          </w:p>
        </w:tc>
        <w:tc>
          <w:tcPr>
            <w:tcW w:w="2139" w:type="dxa"/>
            <w:shd w:val="clear" w:color="auto" w:fill="auto"/>
            <w:noWrap w:val="0"/>
            <w:vAlign w:val="top"/>
          </w:tcPr>
          <w:p w14:paraId="5C3065A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237A07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5" w:hRule="atLeast"/>
          <w:jc w:val="center"/>
        </w:trPr>
        <w:tc>
          <w:tcPr>
            <w:tcW w:w="485" w:type="dxa"/>
            <w:shd w:val="clear" w:color="auto" w:fill="auto"/>
            <w:noWrap/>
            <w:vAlign w:val="top"/>
          </w:tcPr>
          <w:p w14:paraId="334481C1">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7</w:t>
            </w:r>
          </w:p>
        </w:tc>
        <w:tc>
          <w:tcPr>
            <w:tcW w:w="719" w:type="dxa"/>
            <w:vMerge w:val="continue"/>
            <w:shd w:val="clear" w:color="auto" w:fill="auto"/>
            <w:noWrap w:val="0"/>
            <w:vAlign w:val="top"/>
          </w:tcPr>
          <w:p w14:paraId="74C415D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shd w:val="clear" w:color="auto" w:fill="auto"/>
            <w:noWrap w:val="0"/>
            <w:vAlign w:val="top"/>
          </w:tcPr>
          <w:p w14:paraId="4905D1C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restart"/>
            <w:shd w:val="clear" w:color="auto" w:fill="auto"/>
            <w:noWrap w:val="0"/>
            <w:vAlign w:val="top"/>
          </w:tcPr>
          <w:p w14:paraId="274A741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换机服务时效</w:t>
            </w:r>
          </w:p>
        </w:tc>
        <w:tc>
          <w:tcPr>
            <w:tcW w:w="3257" w:type="dxa"/>
            <w:shd w:val="clear" w:color="auto" w:fill="auto"/>
            <w:noWrap w:val="0"/>
            <w:vAlign w:val="top"/>
          </w:tcPr>
          <w:p w14:paraId="7300BD3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确认换机后，在5个工作日内完成换机，如果超出5个工作日必须征得最终用户的同意，并在承诺的时间内完成服务</w:t>
            </w:r>
          </w:p>
        </w:tc>
        <w:tc>
          <w:tcPr>
            <w:tcW w:w="1787" w:type="dxa"/>
            <w:shd w:val="clear" w:color="auto" w:fill="auto"/>
            <w:noWrap w:val="0"/>
            <w:vAlign w:val="top"/>
          </w:tcPr>
          <w:p w14:paraId="7C60F98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在承诺的时间内完成换机。</w:t>
            </w:r>
          </w:p>
        </w:tc>
        <w:tc>
          <w:tcPr>
            <w:tcW w:w="2139" w:type="dxa"/>
            <w:shd w:val="clear" w:color="auto" w:fill="auto"/>
            <w:noWrap w:val="0"/>
            <w:vAlign w:val="top"/>
          </w:tcPr>
          <w:p w14:paraId="532DF7A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289661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2" w:hRule="atLeast"/>
          <w:jc w:val="center"/>
        </w:trPr>
        <w:tc>
          <w:tcPr>
            <w:tcW w:w="485" w:type="dxa"/>
            <w:shd w:val="clear" w:color="auto" w:fill="auto"/>
            <w:noWrap/>
            <w:vAlign w:val="top"/>
          </w:tcPr>
          <w:p w14:paraId="4446BD29">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8</w:t>
            </w:r>
          </w:p>
        </w:tc>
        <w:tc>
          <w:tcPr>
            <w:tcW w:w="719" w:type="dxa"/>
            <w:vMerge w:val="continue"/>
            <w:shd w:val="clear" w:color="auto" w:fill="auto"/>
            <w:noWrap w:val="0"/>
            <w:vAlign w:val="top"/>
          </w:tcPr>
          <w:p w14:paraId="19C83E1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shd w:val="clear" w:color="auto" w:fill="auto"/>
            <w:noWrap w:val="0"/>
            <w:vAlign w:val="top"/>
          </w:tcPr>
          <w:p w14:paraId="12A0FA6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continue"/>
            <w:shd w:val="clear" w:color="auto" w:fill="auto"/>
            <w:noWrap w:val="0"/>
            <w:vAlign w:val="top"/>
          </w:tcPr>
          <w:p w14:paraId="136D139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3257" w:type="dxa"/>
            <w:shd w:val="clear" w:color="auto" w:fill="auto"/>
            <w:noWrap w:val="0"/>
            <w:vAlign w:val="top"/>
          </w:tcPr>
          <w:p w14:paraId="525662C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核实产品主要部件在1年内同样故障报修工单达到三次或三次以上的供应商必须按照客户需求给予更换新机，配置参数需大于等于原机型，换机流程不再经过万翔，换机流程中须提供备用机（备用机服务标准同上）</w:t>
            </w:r>
          </w:p>
        </w:tc>
        <w:tc>
          <w:tcPr>
            <w:tcW w:w="1787" w:type="dxa"/>
            <w:shd w:val="clear" w:color="auto" w:fill="auto"/>
            <w:noWrap w:val="0"/>
            <w:vAlign w:val="top"/>
          </w:tcPr>
          <w:p w14:paraId="141206D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同意并给予客户换机。</w:t>
            </w:r>
          </w:p>
        </w:tc>
        <w:tc>
          <w:tcPr>
            <w:tcW w:w="2139" w:type="dxa"/>
            <w:shd w:val="clear" w:color="auto" w:fill="auto"/>
            <w:noWrap w:val="0"/>
            <w:vAlign w:val="top"/>
          </w:tcPr>
          <w:p w14:paraId="558853F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500元/台/次；同时在质保金中扣除换新机所需货款，由万翔直接给客户换机</w:t>
            </w:r>
          </w:p>
        </w:tc>
      </w:tr>
      <w:tr w14:paraId="5839C3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3" w:hRule="atLeast"/>
          <w:jc w:val="center"/>
        </w:trPr>
        <w:tc>
          <w:tcPr>
            <w:tcW w:w="485" w:type="dxa"/>
            <w:shd w:val="clear" w:color="auto" w:fill="auto"/>
            <w:noWrap/>
            <w:vAlign w:val="top"/>
          </w:tcPr>
          <w:p w14:paraId="1D1ABE27">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9</w:t>
            </w:r>
          </w:p>
        </w:tc>
        <w:tc>
          <w:tcPr>
            <w:tcW w:w="719" w:type="dxa"/>
            <w:vMerge w:val="continue"/>
            <w:shd w:val="clear" w:color="auto" w:fill="auto"/>
            <w:noWrap w:val="0"/>
            <w:vAlign w:val="top"/>
          </w:tcPr>
          <w:p w14:paraId="08E9222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shd w:val="clear" w:color="auto" w:fill="auto"/>
            <w:noWrap w:val="0"/>
            <w:vAlign w:val="top"/>
          </w:tcPr>
          <w:p w14:paraId="1B600D1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shd w:val="clear" w:color="auto" w:fill="auto"/>
            <w:noWrap w:val="0"/>
            <w:vAlign w:val="top"/>
          </w:tcPr>
          <w:p w14:paraId="1C70EC9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验收报告/辅材发票提供时效</w:t>
            </w:r>
          </w:p>
        </w:tc>
        <w:tc>
          <w:tcPr>
            <w:tcW w:w="3257" w:type="dxa"/>
            <w:shd w:val="clear" w:color="auto" w:fill="auto"/>
            <w:noWrap w:val="0"/>
            <w:vAlign w:val="top"/>
          </w:tcPr>
          <w:p w14:paraId="4DBCC5F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收到万翔客服专员通知后，2个工作日内提供验收报告/辅材发票给最终用户。</w:t>
            </w:r>
          </w:p>
        </w:tc>
        <w:tc>
          <w:tcPr>
            <w:tcW w:w="1787" w:type="dxa"/>
            <w:shd w:val="clear" w:color="auto" w:fill="auto"/>
            <w:noWrap w:val="0"/>
            <w:vAlign w:val="top"/>
          </w:tcPr>
          <w:p w14:paraId="088228C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万翔客服专员报单后2个工作日内</w:t>
            </w:r>
          </w:p>
        </w:tc>
        <w:tc>
          <w:tcPr>
            <w:tcW w:w="2139" w:type="dxa"/>
            <w:shd w:val="clear" w:color="auto" w:fill="auto"/>
            <w:noWrap w:val="0"/>
            <w:vAlign w:val="top"/>
          </w:tcPr>
          <w:p w14:paraId="51399CC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400元/单/次，每逾期1个工作日按100元/单/工作日的标准加收违约金；</w:t>
            </w:r>
          </w:p>
        </w:tc>
      </w:tr>
      <w:tr w14:paraId="2CC5E8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62" w:hRule="atLeast"/>
          <w:jc w:val="center"/>
        </w:trPr>
        <w:tc>
          <w:tcPr>
            <w:tcW w:w="485" w:type="dxa"/>
            <w:shd w:val="clear" w:color="auto" w:fill="auto"/>
            <w:noWrap/>
            <w:vAlign w:val="top"/>
          </w:tcPr>
          <w:p w14:paraId="6E665D3C">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w:t>
            </w:r>
          </w:p>
        </w:tc>
        <w:tc>
          <w:tcPr>
            <w:tcW w:w="719" w:type="dxa"/>
            <w:vMerge w:val="restart"/>
            <w:shd w:val="clear" w:color="auto" w:fill="auto"/>
            <w:noWrap/>
            <w:vAlign w:val="top"/>
          </w:tcPr>
          <w:p w14:paraId="17CB6476">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服务规范</w:t>
            </w:r>
          </w:p>
        </w:tc>
        <w:tc>
          <w:tcPr>
            <w:tcW w:w="1314" w:type="dxa"/>
            <w:vMerge w:val="restart"/>
            <w:shd w:val="clear" w:color="auto" w:fill="auto"/>
            <w:noWrap w:val="0"/>
            <w:vAlign w:val="top"/>
          </w:tcPr>
          <w:p w14:paraId="5A7C1CD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态度或服务不规范，如：服务人员着装不规范，言语生硬、敷衍、态度不好；未能妥善处理客户的不满情绪；用户要求附加一些明显力所能及范围之内的服务而拒不提供服务；损坏客户物品未赔偿等违反服务规范的行为。</w:t>
            </w:r>
          </w:p>
        </w:tc>
        <w:tc>
          <w:tcPr>
            <w:tcW w:w="1038" w:type="dxa"/>
            <w:shd w:val="clear" w:color="auto" w:fill="auto"/>
            <w:noWrap w:val="0"/>
            <w:vAlign w:val="top"/>
          </w:tcPr>
          <w:p w14:paraId="6507B65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服务前的服务规范</w:t>
            </w:r>
          </w:p>
        </w:tc>
        <w:tc>
          <w:tcPr>
            <w:tcW w:w="3257" w:type="dxa"/>
            <w:shd w:val="clear" w:color="auto" w:fill="auto"/>
            <w:noWrap w:val="0"/>
            <w:vAlign w:val="top"/>
          </w:tcPr>
          <w:p w14:paraId="0B05E30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1）上门服务人员应着品牌工装；</w:t>
            </w:r>
          </w:p>
          <w:p w14:paraId="25EA1AFE">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 xml:space="preserve"> 2）安装/维修前应与最终用户核对机器型号、配置和台数；如维修需要向客户核实故障现象。</w:t>
            </w:r>
          </w:p>
          <w:p w14:paraId="7BE69ED1">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3）安装前检查确认外包装完好再拆箱安装；如有异常须及时向最终用户反馈并报备给万翔客服专员后，再进行开箱验机；</w:t>
            </w:r>
          </w:p>
          <w:p w14:paraId="5CDDF229">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4）安装/维修前应检查最终用户的电源电压是否安全稳定，如有问题，应及时告知最终用户，协商整改；</w:t>
            </w:r>
          </w:p>
          <w:p w14:paraId="2140DB92">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5）由于服务单位自身原因造成多人或多次联系客户、或上门服务时发现由于自身原因不能提供服务（如上门服务发现未带物料、上门安装空调发现未取孔）；</w:t>
            </w:r>
          </w:p>
          <w:p w14:paraId="0256CBD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6）上门安装/维修时发现由于环境复杂或安装/维修有难度，拒绝为客户提供服务。</w:t>
            </w:r>
          </w:p>
        </w:tc>
        <w:tc>
          <w:tcPr>
            <w:tcW w:w="1787" w:type="dxa"/>
            <w:shd w:val="clear" w:color="auto" w:fill="auto"/>
            <w:noWrap w:val="0"/>
            <w:vAlign w:val="top"/>
          </w:tcPr>
          <w:p w14:paraId="7C20874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任一条，发现未按规范</w:t>
            </w:r>
          </w:p>
        </w:tc>
        <w:tc>
          <w:tcPr>
            <w:tcW w:w="2139" w:type="dxa"/>
            <w:shd w:val="clear" w:color="auto" w:fill="auto"/>
            <w:noWrap w:val="0"/>
            <w:vAlign w:val="top"/>
          </w:tcPr>
          <w:p w14:paraId="443B509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41D89A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jc w:val="center"/>
        </w:trPr>
        <w:tc>
          <w:tcPr>
            <w:tcW w:w="485" w:type="dxa"/>
            <w:shd w:val="clear" w:color="auto" w:fill="auto"/>
            <w:noWrap/>
            <w:vAlign w:val="top"/>
          </w:tcPr>
          <w:p w14:paraId="59495B57">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11</w:t>
            </w:r>
          </w:p>
        </w:tc>
        <w:tc>
          <w:tcPr>
            <w:tcW w:w="719" w:type="dxa"/>
            <w:vMerge w:val="continue"/>
            <w:shd w:val="clear" w:color="auto" w:fill="auto"/>
            <w:noWrap w:val="0"/>
            <w:vAlign w:val="top"/>
          </w:tcPr>
          <w:p w14:paraId="1410652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shd w:val="clear" w:color="auto" w:fill="auto"/>
            <w:noWrap w:val="0"/>
            <w:vAlign w:val="top"/>
          </w:tcPr>
          <w:p w14:paraId="74C004E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shd w:val="clear" w:color="auto" w:fill="auto"/>
            <w:noWrap w:val="0"/>
            <w:vAlign w:val="top"/>
          </w:tcPr>
          <w:p w14:paraId="3761D05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服务中的服务规范</w:t>
            </w:r>
          </w:p>
        </w:tc>
        <w:tc>
          <w:tcPr>
            <w:tcW w:w="3257" w:type="dxa"/>
            <w:shd w:val="clear" w:color="auto" w:fill="auto"/>
            <w:noWrap w:val="0"/>
            <w:vAlign w:val="top"/>
          </w:tcPr>
          <w:p w14:paraId="001D8BB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1）安装过程中发现外包装完好，开箱出现货物内损则第一时间给最终用户换机处理，并报备给万翔客服专员；</w:t>
            </w:r>
          </w:p>
          <w:p w14:paraId="59DDEAA5">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2）检查每台机器的服务编号；</w:t>
            </w:r>
          </w:p>
          <w:p w14:paraId="61D34C40">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 xml:space="preserve">3) 安装时如果发现设备异常，及时与客户进行沟通，待情况核实清楚后，再行安装； </w:t>
            </w:r>
          </w:p>
          <w:p w14:paraId="1FC69955">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4）免费提供所有设备的安装调试（包括计算机操作系统及补丁等应用软件安装等服务），安装完成后要开机测试以确保设备能够正常使用；</w:t>
            </w:r>
          </w:p>
          <w:p w14:paraId="565A187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5）协助最终用户安装外设等常用设备。并根据最终用户需求进行设置。</w:t>
            </w:r>
          </w:p>
          <w:p w14:paraId="78D8BEF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6）安装位置必须保证设备的正常使用，如安装位置与客户要求不符，需要提前与客户沟通并找到适合的解决方案；</w:t>
            </w:r>
          </w:p>
          <w:p w14:paraId="55EC389B">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7）安装务必保障美观，不能出现设备安装歪斜、影响美观或影响设备正常使用等情况；</w:t>
            </w:r>
          </w:p>
          <w:p w14:paraId="1F2C9A1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8）如果安装/维修数量较多，不能一天内完成，服务单位应连续为客户提供服务，并将情况及时向最终用户做汇报沟通；如有异常情况不能连续安装或暂时先离开现场，必须提前征得最终用户的同意。</w:t>
            </w:r>
          </w:p>
        </w:tc>
        <w:tc>
          <w:tcPr>
            <w:tcW w:w="1787" w:type="dxa"/>
            <w:shd w:val="clear" w:color="auto" w:fill="auto"/>
            <w:noWrap w:val="0"/>
            <w:vAlign w:val="top"/>
          </w:tcPr>
          <w:p w14:paraId="7FC02C7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任一条，发现未按规范</w:t>
            </w:r>
          </w:p>
        </w:tc>
        <w:tc>
          <w:tcPr>
            <w:tcW w:w="2139" w:type="dxa"/>
            <w:shd w:val="clear" w:color="auto" w:fill="auto"/>
            <w:noWrap w:val="0"/>
            <w:vAlign w:val="top"/>
          </w:tcPr>
          <w:p w14:paraId="2749812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05E012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23" w:hRule="atLeast"/>
          <w:jc w:val="center"/>
        </w:trPr>
        <w:tc>
          <w:tcPr>
            <w:tcW w:w="485" w:type="dxa"/>
            <w:shd w:val="clear" w:color="auto" w:fill="auto"/>
            <w:noWrap/>
            <w:vAlign w:val="top"/>
          </w:tcPr>
          <w:p w14:paraId="51011C75">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12</w:t>
            </w:r>
          </w:p>
        </w:tc>
        <w:tc>
          <w:tcPr>
            <w:tcW w:w="719" w:type="dxa"/>
            <w:vMerge w:val="continue"/>
            <w:shd w:val="clear" w:color="auto" w:fill="auto"/>
            <w:noWrap w:val="0"/>
            <w:vAlign w:val="top"/>
          </w:tcPr>
          <w:p w14:paraId="1EFA27D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shd w:val="clear" w:color="auto" w:fill="auto"/>
            <w:noWrap w:val="0"/>
            <w:vAlign w:val="top"/>
          </w:tcPr>
          <w:p w14:paraId="5D022DE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shd w:val="clear" w:color="auto" w:fill="auto"/>
            <w:noWrap w:val="0"/>
            <w:vAlign w:val="top"/>
          </w:tcPr>
          <w:p w14:paraId="248B060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服务后的服务规范</w:t>
            </w:r>
          </w:p>
        </w:tc>
        <w:tc>
          <w:tcPr>
            <w:tcW w:w="3257" w:type="dxa"/>
            <w:shd w:val="clear" w:color="auto" w:fill="auto"/>
            <w:noWrap w:val="0"/>
            <w:vAlign w:val="top"/>
          </w:tcPr>
          <w:p w14:paraId="4A48381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1)安装完毕，应和最终用户一起确认产品的正常运行。</w:t>
            </w:r>
          </w:p>
          <w:p w14:paraId="1326354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br w:type="page"/>
            </w:r>
            <w:r>
              <w:rPr>
                <w:rFonts w:hint="eastAsia" w:ascii="宋体" w:hAnsi="宋体" w:eastAsia="宋体" w:cs="宋体"/>
                <w:color w:val="auto"/>
                <w:kern w:val="0"/>
                <w:sz w:val="18"/>
                <w:szCs w:val="18"/>
                <w:highlight w:val="none"/>
              </w:rPr>
              <w:t>2)安装完毕，并为每台机器注册信息, 应向最终用户详细讲解保修条例；如没有注册信息而导致机器在保修期内无法保修的情况，服务商要负责此维修费用。</w:t>
            </w:r>
          </w:p>
          <w:p w14:paraId="51B9819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br w:type="page"/>
            </w:r>
            <w:r>
              <w:rPr>
                <w:rFonts w:hint="eastAsia" w:ascii="宋体" w:hAnsi="宋体" w:eastAsia="宋体" w:cs="宋体"/>
                <w:color w:val="auto"/>
                <w:kern w:val="0"/>
                <w:sz w:val="18"/>
                <w:szCs w:val="18"/>
                <w:highlight w:val="none"/>
              </w:rPr>
              <w:t>3)安装完毕，应向最终用户详细讲解使用操作方法和日常维护保养措施，耐心解答最终用户提出的问题，并留下服务电话；在设备合适的地方填(贴)上机器信息（包括报修电话、机器序列号及服务号），以方便最终用户报修。</w:t>
            </w:r>
            <w:r>
              <w:rPr>
                <w:rFonts w:hint="eastAsia" w:ascii="宋体" w:hAnsi="宋体" w:eastAsia="宋体" w:cs="宋体"/>
                <w:color w:val="auto"/>
                <w:kern w:val="0"/>
                <w:sz w:val="18"/>
                <w:szCs w:val="18"/>
                <w:highlight w:val="none"/>
              </w:rPr>
              <w:br w:type="page"/>
            </w:r>
          </w:p>
          <w:p w14:paraId="7FAB54C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4）安装/维修等服务结束后，应把工作现场打扫干净，将工具等物品复位，并将安装/维修过程中产生的垃圾带离现场。</w:t>
            </w:r>
          </w:p>
          <w:p w14:paraId="786AEEF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br w:type="page"/>
            </w:r>
            <w:r>
              <w:rPr>
                <w:rFonts w:hint="eastAsia" w:ascii="宋体" w:hAnsi="宋体" w:eastAsia="宋体" w:cs="宋体"/>
                <w:color w:val="auto"/>
                <w:kern w:val="0"/>
                <w:sz w:val="18"/>
                <w:szCs w:val="18"/>
                <w:highlight w:val="none"/>
              </w:rPr>
              <w:t>5）安装完毕，应将《厦门市大宗货物政府采购供货验收单》按万翔网商要求打印并交给客户盖章、签字。</w:t>
            </w:r>
            <w:r>
              <w:rPr>
                <w:rFonts w:hint="eastAsia" w:ascii="宋体" w:hAnsi="宋体" w:eastAsia="宋体" w:cs="宋体"/>
                <w:color w:val="auto"/>
                <w:kern w:val="0"/>
                <w:sz w:val="18"/>
                <w:szCs w:val="18"/>
                <w:highlight w:val="none"/>
              </w:rPr>
              <w:br w:type="page"/>
            </w:r>
          </w:p>
        </w:tc>
        <w:tc>
          <w:tcPr>
            <w:tcW w:w="1787" w:type="dxa"/>
            <w:shd w:val="clear" w:color="auto" w:fill="auto"/>
            <w:noWrap w:val="0"/>
            <w:vAlign w:val="top"/>
          </w:tcPr>
          <w:p w14:paraId="603E694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任一条，发现未按规范</w:t>
            </w:r>
          </w:p>
        </w:tc>
        <w:tc>
          <w:tcPr>
            <w:tcW w:w="2139" w:type="dxa"/>
            <w:shd w:val="clear" w:color="auto" w:fill="auto"/>
            <w:noWrap w:val="0"/>
            <w:vAlign w:val="top"/>
          </w:tcPr>
          <w:p w14:paraId="4BDB08C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4F76D2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2" w:hRule="atLeast"/>
          <w:jc w:val="center"/>
        </w:trPr>
        <w:tc>
          <w:tcPr>
            <w:tcW w:w="485" w:type="dxa"/>
            <w:shd w:val="clear" w:color="auto" w:fill="auto"/>
            <w:noWrap/>
            <w:vAlign w:val="top"/>
          </w:tcPr>
          <w:p w14:paraId="33B78F54">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13</w:t>
            </w:r>
          </w:p>
        </w:tc>
        <w:tc>
          <w:tcPr>
            <w:tcW w:w="719" w:type="dxa"/>
            <w:vMerge w:val="continue"/>
            <w:shd w:val="clear" w:color="auto" w:fill="auto"/>
            <w:noWrap w:val="0"/>
            <w:vAlign w:val="top"/>
          </w:tcPr>
          <w:p w14:paraId="2FCD3F3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shd w:val="clear" w:color="auto" w:fill="auto"/>
            <w:noWrap w:val="0"/>
            <w:vAlign w:val="top"/>
          </w:tcPr>
          <w:p w14:paraId="4EEE172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shd w:val="clear" w:color="auto" w:fill="auto"/>
            <w:noWrap w:val="0"/>
            <w:vAlign w:val="top"/>
          </w:tcPr>
          <w:p w14:paraId="2DB422D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服务仪表、态度</w:t>
            </w:r>
          </w:p>
        </w:tc>
        <w:tc>
          <w:tcPr>
            <w:tcW w:w="3257" w:type="dxa"/>
            <w:shd w:val="clear" w:color="auto" w:fill="auto"/>
            <w:noWrap w:val="0"/>
            <w:vAlign w:val="top"/>
          </w:tcPr>
          <w:p w14:paraId="06C54E0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服务人员着装应规范，言语不生硬、不敷衍、态度好；妥善处理客户的不满情绪；</w:t>
            </w:r>
          </w:p>
        </w:tc>
        <w:tc>
          <w:tcPr>
            <w:tcW w:w="1787" w:type="dxa"/>
            <w:shd w:val="clear" w:color="auto" w:fill="auto"/>
            <w:noWrap w:val="0"/>
            <w:vAlign w:val="top"/>
          </w:tcPr>
          <w:p w14:paraId="6A963E8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shd w:val="clear" w:color="auto" w:fill="auto"/>
            <w:noWrap w:val="0"/>
            <w:vAlign w:val="top"/>
          </w:tcPr>
          <w:p w14:paraId="45BD2C4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3A2C70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3" w:hRule="atLeast"/>
          <w:jc w:val="center"/>
        </w:trPr>
        <w:tc>
          <w:tcPr>
            <w:tcW w:w="485" w:type="dxa"/>
            <w:shd w:val="clear" w:color="auto" w:fill="auto"/>
            <w:noWrap/>
            <w:vAlign w:val="top"/>
          </w:tcPr>
          <w:p w14:paraId="411F47BE">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14</w:t>
            </w:r>
          </w:p>
        </w:tc>
        <w:tc>
          <w:tcPr>
            <w:tcW w:w="719" w:type="dxa"/>
            <w:vMerge w:val="continue"/>
            <w:shd w:val="clear" w:color="auto" w:fill="auto"/>
            <w:noWrap w:val="0"/>
            <w:vAlign w:val="top"/>
          </w:tcPr>
          <w:p w14:paraId="6A8077B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shd w:val="clear" w:color="auto" w:fill="auto"/>
            <w:noWrap w:val="0"/>
            <w:vAlign w:val="top"/>
          </w:tcPr>
          <w:p w14:paraId="44DE747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shd w:val="clear" w:color="auto" w:fill="auto"/>
            <w:noWrap w:val="0"/>
            <w:vAlign w:val="top"/>
          </w:tcPr>
          <w:p w14:paraId="625C38C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额外情况规范</w:t>
            </w:r>
          </w:p>
        </w:tc>
        <w:tc>
          <w:tcPr>
            <w:tcW w:w="3257" w:type="dxa"/>
            <w:shd w:val="clear" w:color="auto" w:fill="auto"/>
            <w:noWrap w:val="0"/>
            <w:vAlign w:val="top"/>
          </w:tcPr>
          <w:p w14:paraId="14A2A36D">
            <w:pPr>
              <w:keepNext w:val="0"/>
              <w:keepLines w:val="0"/>
              <w:widowControl/>
              <w:suppressLineNumbers w:val="0"/>
              <w:spacing w:before="0" w:beforeAutospacing="0" w:after="24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1）电话联系客户时间及上门服务时间必须在最终用户的正常工作时间内，已提前沟通且客户同意的情况下除外。</w:t>
            </w:r>
          </w:p>
          <w:p w14:paraId="1EA29959">
            <w:pPr>
              <w:keepNext w:val="0"/>
              <w:keepLines w:val="0"/>
              <w:widowControl/>
              <w:suppressLineNumbers w:val="0"/>
              <w:spacing w:before="0" w:beforeAutospacing="0" w:after="24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用户要求附加一些明显力所能及范围之内的服务应配合处理；或者其它品牌产品出现故障需要卖方工程师帮助解决。卖方工程师不得拒绝最终用户，在条件许可的前提下为最终用户解决。如果无法修复应协助最终用户报修相应的服务商或者给出解决方案。</w:t>
            </w:r>
          </w:p>
        </w:tc>
        <w:tc>
          <w:tcPr>
            <w:tcW w:w="1787" w:type="dxa"/>
            <w:shd w:val="clear" w:color="auto" w:fill="auto"/>
            <w:noWrap w:val="0"/>
            <w:vAlign w:val="top"/>
          </w:tcPr>
          <w:p w14:paraId="2B55B95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shd w:val="clear" w:color="auto" w:fill="auto"/>
            <w:noWrap w:val="0"/>
            <w:vAlign w:val="top"/>
          </w:tcPr>
          <w:p w14:paraId="4C848A7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53575B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2" w:hRule="atLeast"/>
          <w:jc w:val="center"/>
        </w:trPr>
        <w:tc>
          <w:tcPr>
            <w:tcW w:w="485" w:type="dxa"/>
            <w:shd w:val="clear" w:color="auto" w:fill="auto"/>
            <w:noWrap/>
            <w:vAlign w:val="top"/>
          </w:tcPr>
          <w:p w14:paraId="54B74187">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15</w:t>
            </w:r>
          </w:p>
        </w:tc>
        <w:tc>
          <w:tcPr>
            <w:tcW w:w="719" w:type="dxa"/>
            <w:vMerge w:val="continue"/>
            <w:shd w:val="clear" w:color="auto" w:fill="auto"/>
            <w:noWrap w:val="0"/>
            <w:vAlign w:val="top"/>
          </w:tcPr>
          <w:p w14:paraId="5AE9D04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shd w:val="clear" w:color="auto" w:fill="auto"/>
            <w:noWrap w:val="0"/>
            <w:vAlign w:val="top"/>
          </w:tcPr>
          <w:p w14:paraId="117AEF4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shd w:val="clear" w:color="auto" w:fill="auto"/>
            <w:noWrap w:val="0"/>
            <w:vAlign w:val="top"/>
          </w:tcPr>
          <w:p w14:paraId="5525694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意外情况规范</w:t>
            </w:r>
          </w:p>
        </w:tc>
        <w:tc>
          <w:tcPr>
            <w:tcW w:w="3257" w:type="dxa"/>
            <w:shd w:val="clear" w:color="auto" w:fill="auto"/>
            <w:noWrap w:val="0"/>
            <w:vAlign w:val="top"/>
          </w:tcPr>
          <w:p w14:paraId="19713C87">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1）服务过程中如有损坏客户物品，应及时与客户沟通赔偿方案，并在约定时间内进行赔偿。</w:t>
            </w:r>
          </w:p>
          <w:p w14:paraId="2D55D18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2）安装的设备务必保证使用安全，不能出现在使用过程中掉落等意外情况；</w:t>
            </w:r>
          </w:p>
        </w:tc>
        <w:tc>
          <w:tcPr>
            <w:tcW w:w="1787" w:type="dxa"/>
            <w:shd w:val="clear" w:color="auto" w:fill="auto"/>
            <w:noWrap w:val="0"/>
            <w:vAlign w:val="top"/>
          </w:tcPr>
          <w:p w14:paraId="0CE6D38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shd w:val="clear" w:color="auto" w:fill="auto"/>
            <w:noWrap w:val="0"/>
            <w:vAlign w:val="top"/>
          </w:tcPr>
          <w:p w14:paraId="6FD9299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72CC84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3" w:hRule="atLeast"/>
          <w:jc w:val="center"/>
        </w:trPr>
        <w:tc>
          <w:tcPr>
            <w:tcW w:w="485" w:type="dxa"/>
            <w:shd w:val="clear" w:color="auto" w:fill="auto"/>
            <w:noWrap/>
            <w:vAlign w:val="top"/>
          </w:tcPr>
          <w:p w14:paraId="6F214B33">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16</w:t>
            </w:r>
          </w:p>
        </w:tc>
        <w:tc>
          <w:tcPr>
            <w:tcW w:w="719" w:type="dxa"/>
            <w:vMerge w:val="continue"/>
            <w:shd w:val="clear" w:color="auto" w:fill="auto"/>
            <w:noWrap w:val="0"/>
            <w:vAlign w:val="top"/>
          </w:tcPr>
          <w:p w14:paraId="6024747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shd w:val="clear" w:color="auto" w:fill="auto"/>
            <w:noWrap w:val="0"/>
            <w:vAlign w:val="top"/>
          </w:tcPr>
          <w:p w14:paraId="6E91EC8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shd w:val="clear" w:color="auto" w:fill="auto"/>
            <w:noWrap w:val="0"/>
            <w:vAlign w:val="top"/>
          </w:tcPr>
          <w:p w14:paraId="61D2859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备用机使用</w:t>
            </w:r>
          </w:p>
        </w:tc>
        <w:tc>
          <w:tcPr>
            <w:tcW w:w="3257" w:type="dxa"/>
            <w:shd w:val="clear" w:color="auto" w:fill="auto"/>
            <w:noWrap w:val="0"/>
            <w:vAlign w:val="top"/>
          </w:tcPr>
          <w:p w14:paraId="6CE088A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反馈客服专员确认使用备用机，如无同型号备用机使用，需提供符合客户需求的其他型号设备使用，备用机必须无偿进行安装调试，并签订《产品备用机使用单》，报修机解除故障归还客户后，还需现场调试，并在《产品备用机使用单》上签署明确可正常使用，才可退还备用机</w:t>
            </w:r>
          </w:p>
        </w:tc>
        <w:tc>
          <w:tcPr>
            <w:tcW w:w="1787" w:type="dxa"/>
            <w:shd w:val="clear" w:color="auto" w:fill="auto"/>
            <w:noWrap w:val="0"/>
            <w:vAlign w:val="top"/>
          </w:tcPr>
          <w:p w14:paraId="784EEE7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未提供备用机的安装调试等；或者客户机子还未修复好，就要求客户归还备用机</w:t>
            </w:r>
          </w:p>
        </w:tc>
        <w:tc>
          <w:tcPr>
            <w:tcW w:w="2139" w:type="dxa"/>
            <w:shd w:val="clear" w:color="auto" w:fill="auto"/>
            <w:noWrap w:val="0"/>
            <w:vAlign w:val="top"/>
          </w:tcPr>
          <w:p w14:paraId="7D17166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7E19E8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8" w:hRule="atLeast"/>
          <w:jc w:val="center"/>
        </w:trPr>
        <w:tc>
          <w:tcPr>
            <w:tcW w:w="485" w:type="dxa"/>
            <w:shd w:val="clear" w:color="auto" w:fill="auto"/>
            <w:noWrap/>
            <w:vAlign w:val="top"/>
          </w:tcPr>
          <w:p w14:paraId="2B9A89D1">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17</w:t>
            </w:r>
          </w:p>
        </w:tc>
        <w:tc>
          <w:tcPr>
            <w:tcW w:w="719" w:type="dxa"/>
            <w:shd w:val="clear" w:color="auto" w:fill="auto"/>
            <w:noWrap w:val="0"/>
            <w:vAlign w:val="top"/>
          </w:tcPr>
          <w:p w14:paraId="78FC12CA">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服务质量</w:t>
            </w:r>
          </w:p>
        </w:tc>
        <w:tc>
          <w:tcPr>
            <w:tcW w:w="1314" w:type="dxa"/>
            <w:shd w:val="clear" w:color="auto" w:fill="auto"/>
            <w:noWrap w:val="0"/>
            <w:vAlign w:val="top"/>
          </w:tcPr>
          <w:p w14:paraId="6611F5FE">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服务人员不具备服务能力；</w:t>
            </w:r>
          </w:p>
          <w:p w14:paraId="611B7CF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维修后一个月内又出现同样故障、或同一故障频繁重复再现；</w:t>
            </w:r>
          </w:p>
        </w:tc>
        <w:tc>
          <w:tcPr>
            <w:tcW w:w="1038" w:type="dxa"/>
            <w:shd w:val="clear" w:color="auto" w:fill="auto"/>
            <w:noWrap w:val="0"/>
            <w:vAlign w:val="top"/>
          </w:tcPr>
          <w:p w14:paraId="78B0A0D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客户报修频率</w:t>
            </w:r>
          </w:p>
        </w:tc>
        <w:tc>
          <w:tcPr>
            <w:tcW w:w="3257" w:type="dxa"/>
            <w:shd w:val="clear" w:color="auto" w:fill="auto"/>
            <w:noWrap w:val="0"/>
            <w:vAlign w:val="top"/>
          </w:tcPr>
          <w:p w14:paraId="71CEAE7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1）一个月内再次出现同样故障。或者故障反复出现。</w:t>
            </w:r>
          </w:p>
          <w:p w14:paraId="753D3DC8">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2）明确由于服务引发的产品其他故障。</w:t>
            </w:r>
          </w:p>
          <w:p w14:paraId="47BC979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3）服务人员上门后表示不会安装或维修，或安装/维修操作不熟练。</w:t>
            </w:r>
          </w:p>
        </w:tc>
        <w:tc>
          <w:tcPr>
            <w:tcW w:w="1787" w:type="dxa"/>
            <w:shd w:val="clear" w:color="auto" w:fill="auto"/>
            <w:noWrap w:val="0"/>
            <w:vAlign w:val="top"/>
          </w:tcPr>
          <w:p w14:paraId="69F51D4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shd w:val="clear" w:color="auto" w:fill="auto"/>
            <w:noWrap w:val="0"/>
            <w:vAlign w:val="top"/>
          </w:tcPr>
          <w:p w14:paraId="397FCED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68992D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9" w:hRule="atLeast"/>
          <w:jc w:val="center"/>
        </w:trPr>
        <w:tc>
          <w:tcPr>
            <w:tcW w:w="485" w:type="dxa"/>
            <w:shd w:val="clear" w:color="auto" w:fill="auto"/>
            <w:noWrap/>
            <w:vAlign w:val="top"/>
          </w:tcPr>
          <w:p w14:paraId="20E6A41C">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18</w:t>
            </w:r>
          </w:p>
        </w:tc>
        <w:tc>
          <w:tcPr>
            <w:tcW w:w="719" w:type="dxa"/>
            <w:shd w:val="clear" w:color="auto" w:fill="auto"/>
            <w:noWrap w:val="0"/>
            <w:vAlign w:val="top"/>
          </w:tcPr>
          <w:p w14:paraId="005DEE0C">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收费</w:t>
            </w:r>
          </w:p>
        </w:tc>
        <w:tc>
          <w:tcPr>
            <w:tcW w:w="1314" w:type="dxa"/>
            <w:shd w:val="clear" w:color="auto" w:fill="auto"/>
            <w:noWrap w:val="0"/>
            <w:vAlign w:val="top"/>
          </w:tcPr>
          <w:p w14:paraId="4C1FA4C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未按合同规定操作，未提前与最终用户沟通收费标准，多收费或乱收费</w:t>
            </w:r>
          </w:p>
        </w:tc>
        <w:tc>
          <w:tcPr>
            <w:tcW w:w="1038" w:type="dxa"/>
            <w:shd w:val="clear" w:color="auto" w:fill="auto"/>
            <w:noWrap w:val="0"/>
            <w:vAlign w:val="top"/>
          </w:tcPr>
          <w:p w14:paraId="0B0190E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收费项目</w:t>
            </w:r>
          </w:p>
        </w:tc>
        <w:tc>
          <w:tcPr>
            <w:tcW w:w="3257" w:type="dxa"/>
            <w:shd w:val="clear" w:color="auto" w:fill="auto"/>
            <w:noWrap w:val="0"/>
            <w:vAlign w:val="top"/>
          </w:tcPr>
          <w:p w14:paraId="1540C8A4">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1）有偿服务的范围，应按合同约定的收费标准或公司定价向客户说明并提前报价给客户，合同中明确免费的不得向客户收费，合同中明确免费的不能以隐瞒或欺骗的方式向客户提供收费的替代物料。</w:t>
            </w:r>
          </w:p>
          <w:p w14:paraId="5278FB46">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2）报价时应向客户提供清单明细，包括规格型号、单价、数量、总价、保修时间（如有）、保修方式（如有）；</w:t>
            </w:r>
          </w:p>
          <w:p w14:paraId="57E127F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3）提供服务前必须征得最终用户的同意；不能出现服务完成后才告知客户需要收费。</w:t>
            </w:r>
          </w:p>
        </w:tc>
        <w:tc>
          <w:tcPr>
            <w:tcW w:w="1787" w:type="dxa"/>
            <w:shd w:val="clear" w:color="auto" w:fill="auto"/>
            <w:noWrap w:val="0"/>
            <w:vAlign w:val="top"/>
          </w:tcPr>
          <w:p w14:paraId="2CAA870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shd w:val="clear" w:color="auto" w:fill="auto"/>
            <w:noWrap w:val="0"/>
            <w:vAlign w:val="top"/>
          </w:tcPr>
          <w:p w14:paraId="5C0BF42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30D7FE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6" w:hRule="atLeast"/>
          <w:jc w:val="center"/>
        </w:trPr>
        <w:tc>
          <w:tcPr>
            <w:tcW w:w="485" w:type="dxa"/>
            <w:shd w:val="clear" w:color="auto" w:fill="auto"/>
            <w:noWrap/>
            <w:vAlign w:val="top"/>
          </w:tcPr>
          <w:p w14:paraId="6EB3F53B">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19</w:t>
            </w:r>
          </w:p>
        </w:tc>
        <w:tc>
          <w:tcPr>
            <w:tcW w:w="719" w:type="dxa"/>
            <w:vMerge w:val="restart"/>
            <w:shd w:val="clear" w:color="auto" w:fill="auto"/>
            <w:noWrap w:val="0"/>
            <w:vAlign w:val="top"/>
          </w:tcPr>
          <w:p w14:paraId="0A6D2D33">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验收报告回收时效</w:t>
            </w:r>
          </w:p>
        </w:tc>
        <w:tc>
          <w:tcPr>
            <w:tcW w:w="1314" w:type="dxa"/>
            <w:vMerge w:val="restart"/>
            <w:shd w:val="clear" w:color="auto" w:fill="auto"/>
            <w:noWrap w:val="0"/>
            <w:vAlign w:val="top"/>
          </w:tcPr>
          <w:p w14:paraId="4848131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未按合同规定，安装调试完成后应及时反馈给买方，并按照买方要求由最终用户填写《验收报告》，三个工作日内报送给买方。超过5个工作日仍未回收的，按每逾期一天10元/单的标准加收违约金。</w:t>
            </w:r>
          </w:p>
        </w:tc>
        <w:tc>
          <w:tcPr>
            <w:tcW w:w="1038" w:type="dxa"/>
            <w:shd w:val="clear" w:color="auto" w:fill="auto"/>
            <w:noWrap w:val="0"/>
            <w:vAlign w:val="top"/>
          </w:tcPr>
          <w:p w14:paraId="77AE4BA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提供给最终用户验收报告的时效</w:t>
            </w:r>
          </w:p>
        </w:tc>
        <w:tc>
          <w:tcPr>
            <w:tcW w:w="3257" w:type="dxa"/>
            <w:shd w:val="clear" w:color="auto" w:fill="auto"/>
            <w:noWrap w:val="0"/>
            <w:vAlign w:val="top"/>
          </w:tcPr>
          <w:p w14:paraId="38DAFC2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1）安装完成后及时提供“验收报告”给最终用户，其中“客户联”留给客户，将其他联在2个工作日内（安装调试完毕后，次日算第一天）回收；</w:t>
            </w:r>
          </w:p>
          <w:p w14:paraId="20167EC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2）如验收报告超出约定时间提供，必须提前与最终用户做好沟通并征得最终用户的同意。</w:t>
            </w:r>
          </w:p>
        </w:tc>
        <w:tc>
          <w:tcPr>
            <w:tcW w:w="1787" w:type="dxa"/>
            <w:shd w:val="clear" w:color="auto" w:fill="auto"/>
            <w:noWrap w:val="0"/>
            <w:vAlign w:val="top"/>
          </w:tcPr>
          <w:p w14:paraId="5E2B80D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安装后超过2个工作日客户催验收报告。</w:t>
            </w:r>
          </w:p>
        </w:tc>
        <w:tc>
          <w:tcPr>
            <w:tcW w:w="2139" w:type="dxa"/>
            <w:shd w:val="clear" w:color="auto" w:fill="auto"/>
            <w:noWrap w:val="0"/>
            <w:vAlign w:val="top"/>
          </w:tcPr>
          <w:p w14:paraId="18A95F7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200元/次+（N-1）*10元/台/次</w:t>
            </w:r>
          </w:p>
        </w:tc>
      </w:tr>
      <w:tr w14:paraId="272600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6" w:hRule="atLeast"/>
          <w:jc w:val="center"/>
        </w:trPr>
        <w:tc>
          <w:tcPr>
            <w:tcW w:w="485" w:type="dxa"/>
            <w:shd w:val="clear" w:color="auto" w:fill="auto"/>
            <w:noWrap/>
            <w:vAlign w:val="top"/>
          </w:tcPr>
          <w:p w14:paraId="6C352853">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w:t>
            </w:r>
          </w:p>
        </w:tc>
        <w:tc>
          <w:tcPr>
            <w:tcW w:w="719" w:type="dxa"/>
            <w:vMerge w:val="continue"/>
            <w:shd w:val="clear" w:color="auto" w:fill="auto"/>
            <w:noWrap w:val="0"/>
            <w:vAlign w:val="top"/>
          </w:tcPr>
          <w:p w14:paraId="1E12D61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shd w:val="clear" w:color="auto" w:fill="auto"/>
            <w:noWrap w:val="0"/>
            <w:vAlign w:val="top"/>
          </w:tcPr>
          <w:p w14:paraId="739CE77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shd w:val="clear" w:color="auto" w:fill="auto"/>
            <w:noWrap w:val="0"/>
            <w:vAlign w:val="top"/>
          </w:tcPr>
          <w:p w14:paraId="0B8DBEA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提供客户签盖的验收报告给万翔</w:t>
            </w:r>
          </w:p>
        </w:tc>
        <w:tc>
          <w:tcPr>
            <w:tcW w:w="3257" w:type="dxa"/>
            <w:shd w:val="clear" w:color="auto" w:fill="auto"/>
            <w:noWrap w:val="0"/>
            <w:vAlign w:val="top"/>
          </w:tcPr>
          <w:p w14:paraId="44B43A7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安装验收后5个工作日内将“验收报告”按要求返回给万翔网商，如超出时间未返回，必须提前向万翔客服说明情况；如万翔网商未收到反馈且在安装后5个工作日内未收到返回的“验收报告”则视为延误。</w:t>
            </w:r>
          </w:p>
        </w:tc>
        <w:tc>
          <w:tcPr>
            <w:tcW w:w="1787" w:type="dxa"/>
            <w:shd w:val="clear" w:color="auto" w:fill="auto"/>
            <w:noWrap w:val="0"/>
            <w:vAlign w:val="top"/>
          </w:tcPr>
          <w:p w14:paraId="72469D0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安装后超过5个工作日万翔网商未收到验收报告</w:t>
            </w:r>
          </w:p>
        </w:tc>
        <w:tc>
          <w:tcPr>
            <w:tcW w:w="2139" w:type="dxa"/>
            <w:shd w:val="clear" w:color="auto" w:fill="auto"/>
            <w:noWrap w:val="0"/>
            <w:vAlign w:val="top"/>
          </w:tcPr>
          <w:p w14:paraId="5FD937C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200元/次+（N-1）*10元/台/次</w:t>
            </w:r>
          </w:p>
        </w:tc>
      </w:tr>
      <w:tr w14:paraId="209F09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5" w:type="dxa"/>
            <w:shd w:val="clear" w:color="auto" w:fill="auto"/>
            <w:noWrap/>
            <w:vAlign w:val="top"/>
          </w:tcPr>
          <w:p w14:paraId="0EEDF07D">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21</w:t>
            </w:r>
          </w:p>
        </w:tc>
        <w:tc>
          <w:tcPr>
            <w:tcW w:w="719" w:type="dxa"/>
            <w:vMerge w:val="restart"/>
            <w:shd w:val="clear" w:color="auto" w:fill="auto"/>
            <w:noWrap w:val="0"/>
            <w:vAlign w:val="top"/>
          </w:tcPr>
          <w:p w14:paraId="17CBF56E">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信息反馈</w:t>
            </w:r>
          </w:p>
        </w:tc>
        <w:tc>
          <w:tcPr>
            <w:tcW w:w="1314" w:type="dxa"/>
            <w:vMerge w:val="restart"/>
            <w:shd w:val="clear" w:color="auto" w:fill="auto"/>
            <w:noWrap w:val="0"/>
            <w:vAlign w:val="top"/>
          </w:tcPr>
          <w:p w14:paraId="0CB548D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未按买方要求反馈所需报表，或所提供报表信息存在虚假的问题。</w:t>
            </w:r>
          </w:p>
        </w:tc>
        <w:tc>
          <w:tcPr>
            <w:tcW w:w="1038" w:type="dxa"/>
            <w:shd w:val="clear" w:color="auto" w:fill="auto"/>
            <w:noWrap w:val="0"/>
            <w:vAlign w:val="top"/>
          </w:tcPr>
          <w:p w14:paraId="37C4175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服务商操作平台进度回复</w:t>
            </w:r>
          </w:p>
        </w:tc>
        <w:tc>
          <w:tcPr>
            <w:tcW w:w="3257" w:type="dxa"/>
            <w:shd w:val="clear" w:color="auto" w:fill="auto"/>
            <w:noWrap w:val="0"/>
            <w:vAlign w:val="top"/>
          </w:tcPr>
          <w:p w14:paraId="5334BDE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在收到买方派单后且在服务完成后一个工作日内进行回复</w:t>
            </w:r>
          </w:p>
        </w:tc>
        <w:tc>
          <w:tcPr>
            <w:tcW w:w="1787" w:type="dxa"/>
            <w:shd w:val="clear" w:color="auto" w:fill="auto"/>
            <w:noWrap/>
            <w:vAlign w:val="top"/>
          </w:tcPr>
          <w:p w14:paraId="6B60EF6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回复不及时、虚假信息等</w:t>
            </w:r>
          </w:p>
        </w:tc>
        <w:tc>
          <w:tcPr>
            <w:tcW w:w="2139" w:type="dxa"/>
            <w:shd w:val="clear" w:color="auto" w:fill="auto"/>
            <w:noWrap w:val="0"/>
            <w:vAlign w:val="top"/>
          </w:tcPr>
          <w:p w14:paraId="5888E03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55DAC0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5" w:type="dxa"/>
            <w:shd w:val="clear" w:color="auto" w:fill="auto"/>
            <w:noWrap/>
            <w:vAlign w:val="top"/>
          </w:tcPr>
          <w:p w14:paraId="121EAD56">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22</w:t>
            </w:r>
          </w:p>
        </w:tc>
        <w:tc>
          <w:tcPr>
            <w:tcW w:w="719" w:type="dxa"/>
            <w:vMerge w:val="continue"/>
            <w:shd w:val="clear" w:color="auto" w:fill="auto"/>
            <w:noWrap w:val="0"/>
            <w:vAlign w:val="top"/>
          </w:tcPr>
          <w:p w14:paraId="3C5E8DB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shd w:val="clear" w:color="auto" w:fill="auto"/>
            <w:noWrap w:val="0"/>
            <w:vAlign w:val="top"/>
          </w:tcPr>
          <w:p w14:paraId="52D5008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shd w:val="clear" w:color="auto" w:fill="auto"/>
            <w:noWrap w:val="0"/>
            <w:vAlign w:val="top"/>
          </w:tcPr>
          <w:p w14:paraId="16A2EDF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日常售后回复信息</w:t>
            </w:r>
          </w:p>
        </w:tc>
        <w:tc>
          <w:tcPr>
            <w:tcW w:w="3257" w:type="dxa"/>
            <w:shd w:val="clear" w:color="auto" w:fill="auto"/>
            <w:noWrap w:val="0"/>
            <w:vAlign w:val="top"/>
          </w:tcPr>
          <w:p w14:paraId="2550439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在收到买方派单后应按照合同要求及时进行回复</w:t>
            </w:r>
          </w:p>
        </w:tc>
        <w:tc>
          <w:tcPr>
            <w:tcW w:w="1787" w:type="dxa"/>
            <w:shd w:val="clear" w:color="auto" w:fill="auto"/>
            <w:noWrap/>
            <w:vAlign w:val="top"/>
          </w:tcPr>
          <w:p w14:paraId="34D9541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催安装、报修、退换货等售后需求，处理情况虚假等</w:t>
            </w:r>
          </w:p>
        </w:tc>
        <w:tc>
          <w:tcPr>
            <w:tcW w:w="2139" w:type="dxa"/>
            <w:shd w:val="clear" w:color="auto" w:fill="auto"/>
            <w:noWrap w:val="0"/>
            <w:vAlign w:val="top"/>
          </w:tcPr>
          <w:p w14:paraId="6683917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74F43C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5" w:type="dxa"/>
            <w:shd w:val="clear" w:color="auto" w:fill="auto"/>
            <w:noWrap/>
            <w:vAlign w:val="top"/>
          </w:tcPr>
          <w:p w14:paraId="59A6AE58">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23</w:t>
            </w:r>
          </w:p>
        </w:tc>
        <w:tc>
          <w:tcPr>
            <w:tcW w:w="719" w:type="dxa"/>
            <w:vMerge w:val="continue"/>
            <w:shd w:val="clear" w:color="auto" w:fill="auto"/>
            <w:noWrap w:val="0"/>
            <w:vAlign w:val="top"/>
          </w:tcPr>
          <w:p w14:paraId="03C4F8C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vMerge w:val="continue"/>
            <w:shd w:val="clear" w:color="auto" w:fill="auto"/>
            <w:noWrap w:val="0"/>
            <w:vAlign w:val="top"/>
          </w:tcPr>
          <w:p w14:paraId="3E7A444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shd w:val="clear" w:color="auto" w:fill="auto"/>
            <w:noWrap w:val="0"/>
            <w:vAlign w:val="top"/>
          </w:tcPr>
          <w:p w14:paraId="0F6B944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其他万翔要求提供的信息</w:t>
            </w:r>
          </w:p>
        </w:tc>
        <w:tc>
          <w:tcPr>
            <w:tcW w:w="3257" w:type="dxa"/>
            <w:shd w:val="clear" w:color="auto" w:fill="auto"/>
            <w:noWrap w:val="0"/>
            <w:vAlign w:val="top"/>
          </w:tcPr>
          <w:p w14:paraId="17A988F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在收到买方派单后应按照合同要求及时进行回复</w:t>
            </w:r>
          </w:p>
        </w:tc>
        <w:tc>
          <w:tcPr>
            <w:tcW w:w="1787" w:type="dxa"/>
            <w:shd w:val="clear" w:color="auto" w:fill="auto"/>
            <w:noWrap/>
            <w:vAlign w:val="top"/>
          </w:tcPr>
          <w:p w14:paraId="7C07388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信息虚假等</w:t>
            </w:r>
          </w:p>
        </w:tc>
        <w:tc>
          <w:tcPr>
            <w:tcW w:w="2139" w:type="dxa"/>
            <w:shd w:val="clear" w:color="auto" w:fill="auto"/>
            <w:noWrap w:val="0"/>
            <w:vAlign w:val="top"/>
          </w:tcPr>
          <w:p w14:paraId="6AD57DA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5618FA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5" w:type="dxa"/>
            <w:shd w:val="clear" w:color="auto" w:fill="auto"/>
            <w:noWrap/>
            <w:vAlign w:val="top"/>
          </w:tcPr>
          <w:p w14:paraId="1CC34B4E">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24</w:t>
            </w:r>
          </w:p>
        </w:tc>
        <w:tc>
          <w:tcPr>
            <w:tcW w:w="719" w:type="dxa"/>
            <w:vMerge w:val="restart"/>
            <w:shd w:val="clear" w:color="auto" w:fill="auto"/>
            <w:noWrap w:val="0"/>
            <w:vAlign w:val="top"/>
          </w:tcPr>
          <w:p w14:paraId="3EE11F8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投诉（根据卖方产品质量、服务造成用户投诉的层级进计收违约金，当投诉涉及多个层级以最高层级计收违约金标准为准）</w:t>
            </w:r>
          </w:p>
        </w:tc>
        <w:tc>
          <w:tcPr>
            <w:tcW w:w="1314" w:type="dxa"/>
            <w:shd w:val="clear" w:color="auto" w:fill="auto"/>
            <w:noWrap w:val="0"/>
            <w:vAlign w:val="top"/>
          </w:tcPr>
          <w:p w14:paraId="723C054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1、投诉至买方售后服务部门并得以证实                                        </w:t>
            </w:r>
          </w:p>
        </w:tc>
        <w:tc>
          <w:tcPr>
            <w:tcW w:w="1038" w:type="dxa"/>
            <w:shd w:val="clear" w:color="auto" w:fill="auto"/>
            <w:noWrap w:val="0"/>
            <w:vAlign w:val="top"/>
          </w:tcPr>
          <w:p w14:paraId="63EA441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投诉到万翔售后</w:t>
            </w:r>
          </w:p>
        </w:tc>
        <w:tc>
          <w:tcPr>
            <w:tcW w:w="3257" w:type="dxa"/>
            <w:shd w:val="clear" w:color="auto" w:fill="auto"/>
            <w:noWrap w:val="0"/>
            <w:vAlign w:val="top"/>
          </w:tcPr>
          <w:p w14:paraId="30646E2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应妥善处理客户不满或者需求，不应让客户向万翔投诉</w:t>
            </w:r>
          </w:p>
        </w:tc>
        <w:tc>
          <w:tcPr>
            <w:tcW w:w="1787" w:type="dxa"/>
            <w:shd w:val="clear" w:color="auto" w:fill="auto"/>
            <w:noWrap/>
            <w:vAlign w:val="top"/>
          </w:tcPr>
          <w:p w14:paraId="316C0C3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服务商无法证明情况不属实</w:t>
            </w:r>
          </w:p>
        </w:tc>
        <w:tc>
          <w:tcPr>
            <w:tcW w:w="2139" w:type="dxa"/>
            <w:shd w:val="clear" w:color="auto" w:fill="auto"/>
            <w:noWrap w:val="0"/>
            <w:vAlign w:val="top"/>
          </w:tcPr>
          <w:p w14:paraId="58F46D5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10000元/次</w:t>
            </w:r>
          </w:p>
        </w:tc>
      </w:tr>
      <w:tr w14:paraId="044A74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5" w:type="dxa"/>
            <w:shd w:val="clear" w:color="auto" w:fill="auto"/>
            <w:noWrap/>
            <w:vAlign w:val="top"/>
          </w:tcPr>
          <w:p w14:paraId="02A6FC38">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25</w:t>
            </w:r>
          </w:p>
        </w:tc>
        <w:tc>
          <w:tcPr>
            <w:tcW w:w="719" w:type="dxa"/>
            <w:vMerge w:val="continue"/>
            <w:shd w:val="clear" w:color="auto" w:fill="auto"/>
            <w:noWrap w:val="0"/>
            <w:vAlign w:val="top"/>
          </w:tcPr>
          <w:p w14:paraId="2CB96C9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shd w:val="clear" w:color="auto" w:fill="auto"/>
            <w:noWrap w:val="0"/>
            <w:vAlign w:val="top"/>
          </w:tcPr>
          <w:p w14:paraId="029CE7F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2、投诉至厦门翔业集团内部监管部门并得以证实          </w:t>
            </w:r>
          </w:p>
        </w:tc>
        <w:tc>
          <w:tcPr>
            <w:tcW w:w="1038" w:type="dxa"/>
            <w:shd w:val="clear" w:color="auto" w:fill="auto"/>
            <w:noWrap w:val="0"/>
            <w:vAlign w:val="top"/>
          </w:tcPr>
          <w:p w14:paraId="3A6A438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投诉到翔业集团内部监管部门</w:t>
            </w:r>
          </w:p>
        </w:tc>
        <w:tc>
          <w:tcPr>
            <w:tcW w:w="3257" w:type="dxa"/>
            <w:shd w:val="clear" w:color="auto" w:fill="auto"/>
            <w:noWrap w:val="0"/>
            <w:vAlign w:val="top"/>
          </w:tcPr>
          <w:p w14:paraId="41BF711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应妥善处理客户不满或者需求，不应让客户向翔业集团监管部门投诉</w:t>
            </w:r>
          </w:p>
        </w:tc>
        <w:tc>
          <w:tcPr>
            <w:tcW w:w="1787" w:type="dxa"/>
            <w:shd w:val="clear" w:color="auto" w:fill="auto"/>
            <w:noWrap/>
            <w:vAlign w:val="top"/>
          </w:tcPr>
          <w:p w14:paraId="1DBDE77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服务商无法证明情况不属实</w:t>
            </w:r>
          </w:p>
        </w:tc>
        <w:tc>
          <w:tcPr>
            <w:tcW w:w="2139" w:type="dxa"/>
            <w:shd w:val="clear" w:color="auto" w:fill="auto"/>
            <w:noWrap w:val="0"/>
            <w:vAlign w:val="top"/>
          </w:tcPr>
          <w:p w14:paraId="2DCB2AB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20000元/次</w:t>
            </w:r>
          </w:p>
        </w:tc>
      </w:tr>
      <w:tr w14:paraId="6B07DD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 w:hRule="atLeast"/>
          <w:jc w:val="center"/>
        </w:trPr>
        <w:tc>
          <w:tcPr>
            <w:tcW w:w="485" w:type="dxa"/>
            <w:shd w:val="clear" w:color="auto" w:fill="auto"/>
            <w:noWrap/>
            <w:vAlign w:val="top"/>
          </w:tcPr>
          <w:p w14:paraId="078C6E66">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26</w:t>
            </w:r>
          </w:p>
        </w:tc>
        <w:tc>
          <w:tcPr>
            <w:tcW w:w="719" w:type="dxa"/>
            <w:vMerge w:val="continue"/>
            <w:shd w:val="clear" w:color="auto" w:fill="auto"/>
            <w:noWrap w:val="0"/>
            <w:vAlign w:val="top"/>
          </w:tcPr>
          <w:p w14:paraId="6459212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shd w:val="clear" w:color="auto" w:fill="auto"/>
            <w:noWrap w:val="0"/>
            <w:vAlign w:val="top"/>
          </w:tcPr>
          <w:p w14:paraId="330752A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3、投诉至社会监管部门（如工商局等）并得到证实</w:t>
            </w:r>
          </w:p>
        </w:tc>
        <w:tc>
          <w:tcPr>
            <w:tcW w:w="1038" w:type="dxa"/>
            <w:shd w:val="clear" w:color="auto" w:fill="auto"/>
            <w:noWrap w:val="0"/>
            <w:vAlign w:val="top"/>
          </w:tcPr>
          <w:p w14:paraId="5DD4EA3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投诉到社会监管部门</w:t>
            </w:r>
          </w:p>
        </w:tc>
        <w:tc>
          <w:tcPr>
            <w:tcW w:w="3257" w:type="dxa"/>
            <w:shd w:val="clear" w:color="auto" w:fill="auto"/>
            <w:noWrap w:val="0"/>
            <w:vAlign w:val="top"/>
          </w:tcPr>
          <w:p w14:paraId="2E83DBF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应妥善处理客户不满或者需求，不应让客户社会监管部门投诉</w:t>
            </w:r>
          </w:p>
        </w:tc>
        <w:tc>
          <w:tcPr>
            <w:tcW w:w="1787" w:type="dxa"/>
            <w:shd w:val="clear" w:color="auto" w:fill="auto"/>
            <w:noWrap w:val="0"/>
            <w:vAlign w:val="top"/>
          </w:tcPr>
          <w:p w14:paraId="2532A34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服务商无法取得社会监管部门撤诉</w:t>
            </w:r>
          </w:p>
        </w:tc>
        <w:tc>
          <w:tcPr>
            <w:tcW w:w="2139" w:type="dxa"/>
            <w:shd w:val="clear" w:color="auto" w:fill="auto"/>
            <w:noWrap w:val="0"/>
            <w:vAlign w:val="top"/>
          </w:tcPr>
          <w:p w14:paraId="470E74F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40000元/次</w:t>
            </w:r>
          </w:p>
        </w:tc>
      </w:tr>
      <w:tr w14:paraId="31BE46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54" w:hRule="atLeast"/>
          <w:jc w:val="center"/>
        </w:trPr>
        <w:tc>
          <w:tcPr>
            <w:tcW w:w="485" w:type="dxa"/>
            <w:tcBorders>
              <w:bottom w:val="single" w:color="000000" w:sz="4" w:space="0"/>
            </w:tcBorders>
            <w:shd w:val="clear" w:color="auto" w:fill="auto"/>
            <w:noWrap/>
            <w:vAlign w:val="top"/>
          </w:tcPr>
          <w:p w14:paraId="17CFDDD6">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27</w:t>
            </w:r>
          </w:p>
        </w:tc>
        <w:tc>
          <w:tcPr>
            <w:tcW w:w="719" w:type="dxa"/>
            <w:vMerge w:val="continue"/>
            <w:tcBorders>
              <w:bottom w:val="single" w:color="000000" w:sz="4" w:space="0"/>
            </w:tcBorders>
            <w:shd w:val="clear" w:color="auto" w:fill="auto"/>
            <w:noWrap w:val="0"/>
            <w:vAlign w:val="top"/>
          </w:tcPr>
          <w:p w14:paraId="603B03C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314" w:type="dxa"/>
            <w:tcBorders>
              <w:bottom w:val="single" w:color="000000" w:sz="4" w:space="0"/>
            </w:tcBorders>
            <w:shd w:val="clear" w:color="auto" w:fill="auto"/>
            <w:noWrap w:val="0"/>
            <w:vAlign w:val="top"/>
          </w:tcPr>
          <w:p w14:paraId="0FD830F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4、投诉至社会媒体并被曝光（如报纸、杂志、电视广播、主流官网等）                                       </w:t>
            </w:r>
          </w:p>
        </w:tc>
        <w:tc>
          <w:tcPr>
            <w:tcW w:w="1038" w:type="dxa"/>
            <w:tcBorders>
              <w:bottom w:val="single" w:color="000000" w:sz="4" w:space="0"/>
            </w:tcBorders>
            <w:shd w:val="clear" w:color="auto" w:fill="auto"/>
            <w:noWrap w:val="0"/>
            <w:vAlign w:val="top"/>
          </w:tcPr>
          <w:p w14:paraId="3E919DE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投诉至社会媒体并被曝光（如报纸、杂志、电视广播、主流官网等）                                       </w:t>
            </w:r>
          </w:p>
        </w:tc>
        <w:tc>
          <w:tcPr>
            <w:tcW w:w="3257" w:type="dxa"/>
            <w:tcBorders>
              <w:bottom w:val="single" w:color="000000" w:sz="4" w:space="0"/>
            </w:tcBorders>
            <w:shd w:val="clear" w:color="auto" w:fill="auto"/>
            <w:noWrap w:val="0"/>
            <w:vAlign w:val="top"/>
          </w:tcPr>
          <w:p w14:paraId="4C0BDAF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应妥善处理客户不满或者需求，不应让客户投诉到社会媒体</w:t>
            </w:r>
          </w:p>
        </w:tc>
        <w:tc>
          <w:tcPr>
            <w:tcW w:w="1787" w:type="dxa"/>
            <w:tcBorders>
              <w:bottom w:val="single" w:color="000000" w:sz="4" w:space="0"/>
            </w:tcBorders>
            <w:shd w:val="clear" w:color="auto" w:fill="auto"/>
            <w:noWrap w:val="0"/>
            <w:vAlign w:val="top"/>
          </w:tcPr>
          <w:p w14:paraId="6B7CC78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报纸、杂志、电视广播、主流官网等曝光了事情</w:t>
            </w:r>
          </w:p>
        </w:tc>
        <w:tc>
          <w:tcPr>
            <w:tcW w:w="2139" w:type="dxa"/>
            <w:tcBorders>
              <w:bottom w:val="single" w:color="000000" w:sz="4" w:space="0"/>
            </w:tcBorders>
            <w:shd w:val="clear" w:color="auto" w:fill="auto"/>
            <w:noWrap w:val="0"/>
            <w:vAlign w:val="top"/>
          </w:tcPr>
          <w:p w14:paraId="538E670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200000元/次</w:t>
            </w:r>
          </w:p>
        </w:tc>
      </w:tr>
      <w:tr w14:paraId="29749D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9" w:hRule="atLeast"/>
          <w:jc w:val="center"/>
        </w:trPr>
        <w:tc>
          <w:tcPr>
            <w:tcW w:w="485" w:type="dxa"/>
            <w:shd w:val="clear" w:color="auto" w:fill="auto"/>
            <w:noWrap w:val="0"/>
            <w:vAlign w:val="top"/>
          </w:tcPr>
          <w:p w14:paraId="29E45B86">
            <w:pPr>
              <w:keepNext w:val="0"/>
              <w:keepLines w:val="0"/>
              <w:suppressLineNumbers w:val="0"/>
              <w:spacing w:before="0" w:beforeAutospacing="0" w:after="0" w:afterAutospacing="0"/>
              <w:ind w:left="0" w:right="0"/>
              <w:rPr>
                <w:rFonts w:hint="default" w:ascii="宋体" w:hAnsi="宋体" w:eastAsia="宋体"/>
                <w:color w:val="auto"/>
                <w:kern w:val="0"/>
                <w:sz w:val="18"/>
                <w:szCs w:val="18"/>
                <w:highlight w:val="none"/>
              </w:rPr>
            </w:pPr>
            <w:r>
              <w:rPr>
                <w:rFonts w:hint="eastAsia" w:ascii="宋体" w:hAnsi="宋体" w:eastAsia="宋体"/>
                <w:color w:val="auto"/>
                <w:kern w:val="0"/>
                <w:sz w:val="18"/>
                <w:szCs w:val="18"/>
                <w:highlight w:val="none"/>
              </w:rPr>
              <w:t>28</w:t>
            </w:r>
          </w:p>
        </w:tc>
        <w:tc>
          <w:tcPr>
            <w:tcW w:w="719" w:type="dxa"/>
            <w:shd w:val="clear" w:color="auto" w:fill="auto"/>
            <w:noWrap w:val="0"/>
            <w:vAlign w:val="top"/>
          </w:tcPr>
          <w:p w14:paraId="520EAD1E">
            <w:pPr>
              <w:keepNext w:val="0"/>
              <w:keepLines w:val="0"/>
              <w:suppressLineNumbers w:val="0"/>
              <w:spacing w:before="0" w:beforeAutospacing="0" w:after="0" w:afterAutospacing="0"/>
              <w:ind w:left="0" w:right="0"/>
              <w:rPr>
                <w:rFonts w:hint="default" w:ascii="宋体" w:hAnsi="宋体" w:eastAsia="宋体"/>
                <w:color w:val="auto"/>
                <w:kern w:val="0"/>
                <w:sz w:val="18"/>
                <w:szCs w:val="18"/>
                <w:highlight w:val="none"/>
              </w:rPr>
            </w:pPr>
            <w:r>
              <w:rPr>
                <w:rFonts w:hint="eastAsia" w:ascii="宋体" w:hAnsi="宋体" w:eastAsia="宋体"/>
                <w:color w:val="auto"/>
                <w:kern w:val="0"/>
                <w:sz w:val="18"/>
                <w:szCs w:val="18"/>
                <w:highlight w:val="none"/>
              </w:rPr>
              <w:t>考核违约金缴交或履约保证金扣划</w:t>
            </w:r>
          </w:p>
        </w:tc>
        <w:tc>
          <w:tcPr>
            <w:tcW w:w="1314" w:type="dxa"/>
            <w:shd w:val="clear" w:color="auto" w:fill="auto"/>
            <w:noWrap w:val="0"/>
            <w:vAlign w:val="top"/>
          </w:tcPr>
          <w:p w14:paraId="3244625A">
            <w:pPr>
              <w:keepNext w:val="0"/>
              <w:keepLines w:val="0"/>
              <w:suppressLineNumbers w:val="0"/>
              <w:spacing w:before="0" w:beforeAutospacing="0" w:after="0" w:afterAutospacing="0"/>
              <w:ind w:left="0" w:right="-107" w:rightChars="-51"/>
              <w:rPr>
                <w:rFonts w:hint="default" w:ascii="宋体" w:hAnsi="宋体" w:eastAsia="宋体"/>
                <w:color w:val="auto"/>
                <w:kern w:val="0"/>
                <w:sz w:val="18"/>
                <w:szCs w:val="18"/>
                <w:highlight w:val="none"/>
              </w:rPr>
            </w:pPr>
            <w:r>
              <w:rPr>
                <w:rFonts w:hint="eastAsia" w:ascii="宋体" w:hAnsi="宋体" w:eastAsia="宋体"/>
                <w:color w:val="auto"/>
                <w:kern w:val="0"/>
                <w:sz w:val="18"/>
                <w:szCs w:val="18"/>
                <w:highlight w:val="none"/>
              </w:rPr>
              <w:t>收到考核表后30个日历日内交清考核款项</w:t>
            </w:r>
          </w:p>
        </w:tc>
        <w:tc>
          <w:tcPr>
            <w:tcW w:w="1038" w:type="dxa"/>
            <w:shd w:val="clear" w:color="auto" w:fill="auto"/>
            <w:noWrap w:val="0"/>
            <w:vAlign w:val="top"/>
          </w:tcPr>
          <w:p w14:paraId="70CBA801">
            <w:pPr>
              <w:keepNext w:val="0"/>
              <w:keepLines w:val="0"/>
              <w:suppressLineNumbers w:val="0"/>
              <w:spacing w:before="0" w:beforeAutospacing="0" w:after="0" w:afterAutospacing="0"/>
              <w:ind w:left="0" w:right="0"/>
              <w:rPr>
                <w:rFonts w:hint="default" w:ascii="宋体" w:hAnsi="宋体" w:eastAsia="宋体"/>
                <w:color w:val="auto"/>
                <w:kern w:val="0"/>
                <w:sz w:val="18"/>
                <w:szCs w:val="18"/>
                <w:highlight w:val="none"/>
              </w:rPr>
            </w:pPr>
            <w:r>
              <w:rPr>
                <w:rFonts w:hint="eastAsia" w:ascii="宋体" w:hAnsi="宋体" w:eastAsia="宋体"/>
                <w:color w:val="auto"/>
                <w:kern w:val="0"/>
                <w:sz w:val="18"/>
                <w:szCs w:val="18"/>
                <w:highlight w:val="none"/>
              </w:rPr>
              <w:t>违约金缴交</w:t>
            </w:r>
          </w:p>
        </w:tc>
        <w:tc>
          <w:tcPr>
            <w:tcW w:w="3257" w:type="dxa"/>
            <w:shd w:val="clear" w:color="auto" w:fill="auto"/>
            <w:noWrap w:val="0"/>
            <w:vAlign w:val="top"/>
          </w:tcPr>
          <w:p w14:paraId="67C7F271">
            <w:pPr>
              <w:keepNext w:val="0"/>
              <w:keepLines w:val="0"/>
              <w:suppressLineNumbers w:val="0"/>
              <w:spacing w:before="0" w:beforeAutospacing="0" w:after="0" w:afterAutospacing="0"/>
              <w:ind w:left="0" w:right="0"/>
              <w:rPr>
                <w:rFonts w:hint="default" w:ascii="宋体" w:hAnsi="宋体" w:eastAsia="宋体"/>
                <w:color w:val="auto"/>
                <w:kern w:val="0"/>
                <w:sz w:val="18"/>
                <w:szCs w:val="18"/>
                <w:highlight w:val="none"/>
              </w:rPr>
            </w:pPr>
            <w:r>
              <w:rPr>
                <w:rFonts w:hint="eastAsia" w:ascii="宋体" w:hAnsi="宋体" w:eastAsia="宋体"/>
                <w:color w:val="auto"/>
                <w:kern w:val="0"/>
                <w:sz w:val="18"/>
                <w:szCs w:val="18"/>
                <w:highlight w:val="none"/>
              </w:rPr>
              <w:t>服务商应在收到万翔网商发出考核表后的30个日历日内交清违约金，交完后将付款情况告知万翔网商对应的采购专员。</w:t>
            </w:r>
          </w:p>
        </w:tc>
        <w:tc>
          <w:tcPr>
            <w:tcW w:w="1787" w:type="dxa"/>
            <w:shd w:val="clear" w:color="auto" w:fill="auto"/>
            <w:noWrap w:val="0"/>
            <w:vAlign w:val="top"/>
          </w:tcPr>
          <w:p w14:paraId="70189777">
            <w:pPr>
              <w:keepNext w:val="0"/>
              <w:keepLines w:val="0"/>
              <w:suppressLineNumbers w:val="0"/>
              <w:spacing w:before="0" w:beforeAutospacing="0" w:after="0" w:afterAutospacing="0"/>
              <w:ind w:left="0" w:right="0"/>
              <w:rPr>
                <w:rFonts w:hint="default" w:ascii="宋体" w:hAnsi="宋体" w:eastAsia="宋体"/>
                <w:color w:val="auto"/>
                <w:kern w:val="0"/>
                <w:sz w:val="18"/>
                <w:szCs w:val="18"/>
                <w:highlight w:val="none"/>
              </w:rPr>
            </w:pPr>
            <w:r>
              <w:rPr>
                <w:rFonts w:hint="eastAsia" w:ascii="宋体" w:hAnsi="宋体" w:eastAsia="宋体"/>
                <w:color w:val="auto"/>
                <w:kern w:val="0"/>
                <w:sz w:val="18"/>
                <w:szCs w:val="18"/>
                <w:highlight w:val="none"/>
              </w:rPr>
              <w:t>未按要求时效和金额缴交违约金</w:t>
            </w:r>
          </w:p>
        </w:tc>
        <w:tc>
          <w:tcPr>
            <w:tcW w:w="2139" w:type="dxa"/>
            <w:shd w:val="clear" w:color="auto" w:fill="auto"/>
            <w:noWrap w:val="0"/>
            <w:vAlign w:val="top"/>
          </w:tcPr>
          <w:p w14:paraId="56745837">
            <w:pPr>
              <w:keepNext w:val="0"/>
              <w:keepLines w:val="0"/>
              <w:suppressLineNumbers w:val="0"/>
              <w:spacing w:before="0" w:beforeAutospacing="0" w:after="0" w:afterAutospacing="0"/>
              <w:ind w:left="0" w:right="0"/>
              <w:rPr>
                <w:rFonts w:hint="default" w:ascii="宋体" w:hAnsi="宋体" w:eastAsia="宋体"/>
                <w:color w:val="auto"/>
                <w:kern w:val="0"/>
                <w:sz w:val="18"/>
                <w:szCs w:val="18"/>
                <w:highlight w:val="none"/>
              </w:rPr>
            </w:pPr>
            <w:r>
              <w:rPr>
                <w:rFonts w:hint="eastAsia" w:ascii="宋体" w:hAnsi="宋体" w:eastAsia="宋体"/>
                <w:color w:val="auto"/>
                <w:kern w:val="0"/>
                <w:sz w:val="18"/>
                <w:szCs w:val="18"/>
                <w:highlight w:val="none"/>
              </w:rPr>
              <w:t>超过30个日历日按双倍计收违约金</w:t>
            </w:r>
          </w:p>
        </w:tc>
      </w:tr>
    </w:tbl>
    <w:p w14:paraId="542B81A4">
      <w:pPr>
        <w:rPr>
          <w:rFonts w:ascii="宋体" w:hAnsi="宋体" w:eastAsia="宋体"/>
          <w:color w:val="auto"/>
          <w:sz w:val="24"/>
          <w:szCs w:val="24"/>
          <w:highlight w:val="none"/>
        </w:rPr>
      </w:pPr>
    </w:p>
    <w:p w14:paraId="7EF170A6">
      <w:pPr>
        <w:rPr>
          <w:rFonts w:ascii="宋体" w:hAnsi="宋体" w:eastAsia="宋体"/>
          <w:color w:val="auto"/>
          <w:sz w:val="24"/>
          <w:szCs w:val="24"/>
          <w:highlight w:val="none"/>
        </w:rPr>
        <w:sectPr>
          <w:pgSz w:w="11906" w:h="16838"/>
          <w:pgMar w:top="1440" w:right="1800" w:bottom="1440" w:left="1800" w:header="851" w:footer="992" w:gutter="0"/>
          <w:cols w:space="425" w:num="1"/>
          <w:docGrid w:type="lines" w:linePitch="312" w:charSpace="0"/>
        </w:sectPr>
      </w:pPr>
    </w:p>
    <w:p w14:paraId="6088A84E">
      <w:pPr>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附件3：</w:t>
      </w:r>
      <w:r>
        <w:rPr>
          <w:rFonts w:hint="eastAsia" w:ascii="宋体" w:hAnsi="宋体" w:eastAsia="宋体" w:cs="宋体"/>
          <w:b/>
          <w:bCs/>
          <w:color w:val="auto"/>
          <w:sz w:val="24"/>
          <w:szCs w:val="24"/>
          <w:highlight w:val="none"/>
        </w:rPr>
        <w:t>安装费用收费标准</w:t>
      </w:r>
    </w:p>
    <w:tbl>
      <w:tblPr>
        <w:tblStyle w:val="14"/>
        <w:tblW w:w="0" w:type="auto"/>
        <w:tblInd w:w="113" w:type="dxa"/>
        <w:tblLayout w:type="fixed"/>
        <w:tblCellMar>
          <w:top w:w="0" w:type="dxa"/>
          <w:left w:w="108" w:type="dxa"/>
          <w:bottom w:w="0" w:type="dxa"/>
          <w:right w:w="108" w:type="dxa"/>
        </w:tblCellMar>
      </w:tblPr>
      <w:tblGrid>
        <w:gridCol w:w="2125"/>
        <w:gridCol w:w="4977"/>
        <w:gridCol w:w="1194"/>
      </w:tblGrid>
      <w:tr w14:paraId="3503969F">
        <w:tblPrEx>
          <w:tblCellMar>
            <w:top w:w="0" w:type="dxa"/>
            <w:left w:w="108" w:type="dxa"/>
            <w:bottom w:w="0" w:type="dxa"/>
            <w:right w:w="108" w:type="dxa"/>
          </w:tblCellMar>
        </w:tblPrEx>
        <w:trPr>
          <w:trHeight w:val="555" w:hRule="atLeast"/>
        </w:trPr>
        <w:tc>
          <w:tcPr>
            <w:tcW w:w="2125" w:type="dxa"/>
            <w:tcBorders>
              <w:top w:val="single" w:color="auto" w:sz="4" w:space="0"/>
              <w:left w:val="single" w:color="auto" w:sz="4" w:space="0"/>
              <w:bottom w:val="single" w:color="auto" w:sz="4" w:space="0"/>
              <w:right w:val="single" w:color="auto" w:sz="4" w:space="0"/>
            </w:tcBorders>
            <w:noWrap w:val="0"/>
            <w:vAlign w:val="center"/>
          </w:tcPr>
          <w:p w14:paraId="6F0FCDFA">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费用名称</w:t>
            </w:r>
          </w:p>
        </w:tc>
        <w:tc>
          <w:tcPr>
            <w:tcW w:w="4977" w:type="dxa"/>
            <w:tcBorders>
              <w:top w:val="single" w:color="auto" w:sz="4" w:space="0"/>
              <w:left w:val="nil"/>
              <w:bottom w:val="single" w:color="auto" w:sz="4" w:space="0"/>
              <w:right w:val="single" w:color="auto" w:sz="4" w:space="0"/>
            </w:tcBorders>
            <w:noWrap w:val="0"/>
            <w:vAlign w:val="center"/>
          </w:tcPr>
          <w:p w14:paraId="78682418">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区域范围</w:t>
            </w:r>
          </w:p>
        </w:tc>
        <w:tc>
          <w:tcPr>
            <w:tcW w:w="1194" w:type="dxa"/>
            <w:tcBorders>
              <w:top w:val="single" w:color="auto" w:sz="4" w:space="0"/>
              <w:left w:val="nil"/>
              <w:bottom w:val="single" w:color="auto" w:sz="4" w:space="0"/>
              <w:right w:val="single" w:color="auto" w:sz="4" w:space="0"/>
            </w:tcBorders>
            <w:noWrap w:val="0"/>
            <w:vAlign w:val="center"/>
          </w:tcPr>
          <w:p w14:paraId="36292E69">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收费标准</w:t>
            </w:r>
          </w:p>
        </w:tc>
      </w:tr>
      <w:tr w14:paraId="59DAA9C1">
        <w:tblPrEx>
          <w:tblCellMar>
            <w:top w:w="0" w:type="dxa"/>
            <w:left w:w="108" w:type="dxa"/>
            <w:bottom w:w="0" w:type="dxa"/>
            <w:right w:w="108" w:type="dxa"/>
          </w:tblCellMar>
        </w:tblPrEx>
        <w:trPr>
          <w:trHeight w:val="332" w:hRule="atLeast"/>
        </w:trPr>
        <w:tc>
          <w:tcPr>
            <w:tcW w:w="2125" w:type="dxa"/>
            <w:vMerge w:val="restart"/>
            <w:tcBorders>
              <w:top w:val="nil"/>
              <w:left w:val="single" w:color="auto" w:sz="4" w:space="0"/>
              <w:bottom w:val="single" w:color="auto" w:sz="4" w:space="0"/>
              <w:right w:val="single" w:color="auto" w:sz="4" w:space="0"/>
            </w:tcBorders>
            <w:noWrap w:val="0"/>
            <w:vAlign w:val="center"/>
          </w:tcPr>
          <w:p w14:paraId="6C32DAF6">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安装费用</w:t>
            </w:r>
          </w:p>
        </w:tc>
        <w:tc>
          <w:tcPr>
            <w:tcW w:w="4977" w:type="dxa"/>
            <w:tcBorders>
              <w:top w:val="nil"/>
              <w:left w:val="nil"/>
              <w:bottom w:val="single" w:color="auto" w:sz="4" w:space="0"/>
              <w:right w:val="single" w:color="auto" w:sz="4" w:space="0"/>
            </w:tcBorders>
            <w:noWrap w:val="0"/>
            <w:vAlign w:val="center"/>
          </w:tcPr>
          <w:p w14:paraId="1AD4B8F1">
            <w:pPr>
              <w:keepNext w:val="0"/>
              <w:keepLines w:val="0"/>
              <w:suppressLineNumbers w:val="0"/>
              <w:shd w:val="clear" w:color="auto" w:fill="FFFFFF"/>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szCs w:val="21"/>
                <w:highlight w:val="none"/>
              </w:rPr>
              <w:t>厦门市全区、福州市区内、莆田市区内、泉州市区内、漳州市区内、龙岩市区内、三明市区内、南平市区内和宁德市区内（福建省各地市区外划分详见该表格备注栏）</w:t>
            </w:r>
          </w:p>
        </w:tc>
        <w:tc>
          <w:tcPr>
            <w:tcW w:w="1194" w:type="dxa"/>
            <w:tcBorders>
              <w:top w:val="nil"/>
              <w:left w:val="nil"/>
              <w:bottom w:val="single" w:color="auto" w:sz="4" w:space="0"/>
              <w:right w:val="single" w:color="auto" w:sz="4" w:space="0"/>
            </w:tcBorders>
            <w:noWrap w:val="0"/>
            <w:vAlign w:val="center"/>
          </w:tcPr>
          <w:p w14:paraId="54DE1DCB">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免费</w:t>
            </w:r>
          </w:p>
        </w:tc>
      </w:tr>
      <w:tr w14:paraId="44C5A11C">
        <w:tblPrEx>
          <w:tblCellMar>
            <w:top w:w="0" w:type="dxa"/>
            <w:left w:w="108" w:type="dxa"/>
            <w:bottom w:w="0" w:type="dxa"/>
            <w:right w:w="108" w:type="dxa"/>
          </w:tblCellMar>
        </w:tblPrEx>
        <w:trPr>
          <w:trHeight w:val="332" w:hRule="atLeast"/>
        </w:trPr>
        <w:tc>
          <w:tcPr>
            <w:tcW w:w="2125" w:type="dxa"/>
            <w:vMerge w:val="continue"/>
            <w:tcBorders>
              <w:top w:val="nil"/>
              <w:left w:val="single" w:color="auto" w:sz="4" w:space="0"/>
              <w:bottom w:val="single" w:color="auto" w:sz="4" w:space="0"/>
              <w:right w:val="single" w:color="auto" w:sz="4" w:space="0"/>
            </w:tcBorders>
            <w:noWrap w:val="0"/>
            <w:vAlign w:val="center"/>
          </w:tcPr>
          <w:p w14:paraId="50A83A8E">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4977" w:type="dxa"/>
            <w:tcBorders>
              <w:top w:val="nil"/>
              <w:left w:val="nil"/>
              <w:bottom w:val="single" w:color="auto" w:sz="4" w:space="0"/>
              <w:right w:val="single" w:color="auto" w:sz="4" w:space="0"/>
            </w:tcBorders>
            <w:noWrap w:val="0"/>
            <w:vAlign w:val="center"/>
          </w:tcPr>
          <w:p w14:paraId="70BEBDEA">
            <w:pPr>
              <w:keepNext w:val="0"/>
              <w:keepLines w:val="0"/>
              <w:suppressLineNumbers w:val="0"/>
              <w:shd w:val="clear" w:color="auto" w:fill="FFFFFF"/>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szCs w:val="21"/>
                <w:highlight w:val="none"/>
              </w:rPr>
              <w:t>福州市区外、莆田市区外、泉州市区外、漳州市区外、龙岩市区外、三明市区外、南平市区外和宁德市区外（福建省各地市区外划分详见该表格备注栏）</w:t>
            </w:r>
          </w:p>
        </w:tc>
        <w:tc>
          <w:tcPr>
            <w:tcW w:w="1194" w:type="dxa"/>
            <w:tcBorders>
              <w:top w:val="nil"/>
              <w:left w:val="nil"/>
              <w:bottom w:val="single" w:color="auto" w:sz="4" w:space="0"/>
              <w:right w:val="single" w:color="auto" w:sz="4" w:space="0"/>
            </w:tcBorders>
            <w:noWrap w:val="0"/>
            <w:vAlign w:val="center"/>
          </w:tcPr>
          <w:p w14:paraId="221A1AD9">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default"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79</w:t>
            </w:r>
            <w:r>
              <w:rPr>
                <w:rFonts w:hint="default"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元/台</w:t>
            </w:r>
          </w:p>
        </w:tc>
      </w:tr>
      <w:tr w14:paraId="6B1E2AA7">
        <w:tblPrEx>
          <w:tblCellMar>
            <w:top w:w="0" w:type="dxa"/>
            <w:left w:w="108" w:type="dxa"/>
            <w:bottom w:w="0" w:type="dxa"/>
            <w:right w:w="108" w:type="dxa"/>
          </w:tblCellMar>
        </w:tblPrEx>
        <w:trPr>
          <w:trHeight w:val="1140" w:hRule="atLeast"/>
        </w:trPr>
        <w:tc>
          <w:tcPr>
            <w:tcW w:w="8296" w:type="dxa"/>
            <w:gridSpan w:val="3"/>
            <w:tcBorders>
              <w:top w:val="single" w:color="auto" w:sz="4" w:space="0"/>
              <w:left w:val="single" w:color="auto" w:sz="4" w:space="0"/>
              <w:bottom w:val="single" w:color="auto" w:sz="4" w:space="0"/>
              <w:right w:val="single" w:color="auto" w:sz="4" w:space="0"/>
            </w:tcBorders>
            <w:noWrap w:val="0"/>
            <w:vAlign w:val="center"/>
          </w:tcPr>
          <w:p w14:paraId="39B8B397">
            <w:pPr>
              <w:keepNext w:val="0"/>
              <w:keepLines w:val="0"/>
              <w:suppressLineNumbers w:val="0"/>
              <w:shd w:val="clear" w:color="auto" w:fill="FFFFFF"/>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szCs w:val="21"/>
                <w:highlight w:val="none"/>
              </w:rPr>
              <w:t>备注：福建省各地市的区内/区外划分</w:t>
            </w:r>
          </w:p>
          <w:tbl>
            <w:tblPr>
              <w:tblStyle w:val="14"/>
              <w:tblW w:w="0" w:type="auto"/>
              <w:tblInd w:w="0" w:type="dxa"/>
              <w:tblLayout w:type="fixed"/>
              <w:tblCellMar>
                <w:top w:w="0" w:type="dxa"/>
                <w:left w:w="108" w:type="dxa"/>
                <w:bottom w:w="0" w:type="dxa"/>
                <w:right w:w="108" w:type="dxa"/>
              </w:tblCellMar>
            </w:tblPr>
            <w:tblGrid>
              <w:gridCol w:w="1014"/>
              <w:gridCol w:w="993"/>
              <w:gridCol w:w="6053"/>
            </w:tblGrid>
            <w:tr w14:paraId="69EE99F4">
              <w:tblPrEx>
                <w:tblCellMar>
                  <w:top w:w="0" w:type="dxa"/>
                  <w:left w:w="108" w:type="dxa"/>
                  <w:bottom w:w="0" w:type="dxa"/>
                  <w:right w:w="108" w:type="dxa"/>
                </w:tblCellMar>
              </w:tblPrEx>
              <w:trPr>
                <w:trHeight w:val="375" w:hRule="atLeast"/>
              </w:trPr>
              <w:tc>
                <w:tcPr>
                  <w:tcW w:w="1014" w:type="dxa"/>
                  <w:vMerge w:val="restart"/>
                  <w:tcBorders>
                    <w:top w:val="single" w:color="auto" w:sz="8" w:space="0"/>
                    <w:left w:val="single" w:color="auto" w:sz="8" w:space="0"/>
                    <w:bottom w:val="single" w:color="auto" w:sz="8" w:space="0"/>
                    <w:right w:val="single" w:color="auto" w:sz="8" w:space="0"/>
                  </w:tcBorders>
                  <w:noWrap w:val="0"/>
                  <w:vAlign w:val="center"/>
                </w:tcPr>
                <w:p w14:paraId="657961DD">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厦门</w:t>
                  </w:r>
                </w:p>
              </w:tc>
              <w:tc>
                <w:tcPr>
                  <w:tcW w:w="993" w:type="dxa"/>
                  <w:tcBorders>
                    <w:top w:val="single" w:color="auto" w:sz="8" w:space="0"/>
                    <w:left w:val="nil"/>
                    <w:bottom w:val="single" w:color="auto" w:sz="8" w:space="0"/>
                    <w:right w:val="single" w:color="auto" w:sz="8" w:space="0"/>
                  </w:tcBorders>
                  <w:noWrap w:val="0"/>
                  <w:vAlign w:val="center"/>
                </w:tcPr>
                <w:p w14:paraId="70D0E513">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岛内</w:t>
                  </w:r>
                </w:p>
              </w:tc>
              <w:tc>
                <w:tcPr>
                  <w:tcW w:w="6053" w:type="dxa"/>
                  <w:tcBorders>
                    <w:top w:val="single" w:color="auto" w:sz="8" w:space="0"/>
                    <w:left w:val="nil"/>
                    <w:bottom w:val="single" w:color="auto" w:sz="8" w:space="0"/>
                    <w:right w:val="single" w:color="auto" w:sz="8" w:space="0"/>
                  </w:tcBorders>
                  <w:noWrap w:val="0"/>
                  <w:vAlign w:val="center"/>
                </w:tcPr>
                <w:p w14:paraId="4CC061B7">
                  <w:pPr>
                    <w:keepNext w:val="0"/>
                    <w:keepLines w:val="0"/>
                    <w:widowControl/>
                    <w:suppressLineNumbers w:val="0"/>
                    <w:spacing w:before="0" w:beforeAutospacing="0" w:after="0" w:afterAutospacing="0"/>
                    <w:ind w:left="0" w:right="0"/>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思明区、湖里区</w:t>
                  </w:r>
                </w:p>
              </w:tc>
            </w:tr>
            <w:tr w14:paraId="0D727844">
              <w:tblPrEx>
                <w:tblCellMar>
                  <w:top w:w="0" w:type="dxa"/>
                  <w:left w:w="108" w:type="dxa"/>
                  <w:bottom w:w="0" w:type="dxa"/>
                  <w:right w:w="108" w:type="dxa"/>
                </w:tblCellMar>
              </w:tblPrEx>
              <w:trPr>
                <w:trHeight w:val="405" w:hRule="atLeast"/>
              </w:trPr>
              <w:tc>
                <w:tcPr>
                  <w:tcW w:w="1014" w:type="dxa"/>
                  <w:vMerge w:val="continue"/>
                  <w:tcBorders>
                    <w:top w:val="single" w:color="auto" w:sz="8" w:space="0"/>
                    <w:left w:val="single" w:color="auto" w:sz="8" w:space="0"/>
                    <w:bottom w:val="single" w:color="auto" w:sz="8" w:space="0"/>
                    <w:right w:val="single" w:color="auto" w:sz="8" w:space="0"/>
                  </w:tcBorders>
                  <w:noWrap w:val="0"/>
                  <w:vAlign w:val="center"/>
                </w:tcPr>
                <w:p w14:paraId="041A779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Cs w:val="21"/>
                      <w:highlight w:val="none"/>
                    </w:rPr>
                  </w:pPr>
                </w:p>
              </w:tc>
              <w:tc>
                <w:tcPr>
                  <w:tcW w:w="993" w:type="dxa"/>
                  <w:tcBorders>
                    <w:top w:val="single" w:color="auto" w:sz="8" w:space="0"/>
                    <w:left w:val="nil"/>
                    <w:bottom w:val="single" w:color="auto" w:sz="8" w:space="0"/>
                    <w:right w:val="single" w:color="auto" w:sz="8" w:space="0"/>
                  </w:tcBorders>
                  <w:noWrap w:val="0"/>
                  <w:vAlign w:val="center"/>
                </w:tcPr>
                <w:p w14:paraId="457CD6ED">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岛外</w:t>
                  </w:r>
                </w:p>
              </w:tc>
              <w:tc>
                <w:tcPr>
                  <w:tcW w:w="6053" w:type="dxa"/>
                  <w:tcBorders>
                    <w:top w:val="single" w:color="auto" w:sz="8" w:space="0"/>
                    <w:left w:val="nil"/>
                    <w:bottom w:val="single" w:color="auto" w:sz="8" w:space="0"/>
                    <w:right w:val="single" w:color="auto" w:sz="8" w:space="0"/>
                  </w:tcBorders>
                  <w:noWrap w:val="0"/>
                  <w:vAlign w:val="center"/>
                </w:tcPr>
                <w:p w14:paraId="72DF8B3B">
                  <w:pPr>
                    <w:keepNext w:val="0"/>
                    <w:keepLines w:val="0"/>
                    <w:widowControl/>
                    <w:suppressLineNumbers w:val="0"/>
                    <w:spacing w:before="0" w:beforeAutospacing="0" w:after="0" w:afterAutospacing="0"/>
                    <w:ind w:left="0" w:right="0"/>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海沧区、集美区、同安区、翔安区等厦门市非岛内范围</w:t>
                  </w:r>
                </w:p>
              </w:tc>
            </w:tr>
            <w:tr w14:paraId="558C92C6">
              <w:tblPrEx>
                <w:tblCellMar>
                  <w:top w:w="0" w:type="dxa"/>
                  <w:left w:w="108" w:type="dxa"/>
                  <w:bottom w:w="0" w:type="dxa"/>
                  <w:right w:w="108" w:type="dxa"/>
                </w:tblCellMar>
              </w:tblPrEx>
              <w:trPr>
                <w:trHeight w:val="310" w:hRule="atLeast"/>
              </w:trPr>
              <w:tc>
                <w:tcPr>
                  <w:tcW w:w="1014" w:type="dxa"/>
                  <w:vMerge w:val="restart"/>
                  <w:tcBorders>
                    <w:top w:val="single" w:color="auto" w:sz="8" w:space="0"/>
                    <w:left w:val="single" w:color="auto" w:sz="8" w:space="0"/>
                    <w:bottom w:val="single" w:color="auto" w:sz="8" w:space="0"/>
                    <w:right w:val="single" w:color="auto" w:sz="8" w:space="0"/>
                  </w:tcBorders>
                  <w:noWrap w:val="0"/>
                  <w:vAlign w:val="center"/>
                </w:tcPr>
                <w:p w14:paraId="256F957F">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福州市</w:t>
                  </w:r>
                </w:p>
              </w:tc>
              <w:tc>
                <w:tcPr>
                  <w:tcW w:w="993" w:type="dxa"/>
                  <w:tcBorders>
                    <w:top w:val="single" w:color="auto" w:sz="8" w:space="0"/>
                    <w:left w:val="nil"/>
                    <w:bottom w:val="single" w:color="auto" w:sz="8" w:space="0"/>
                    <w:right w:val="single" w:color="auto" w:sz="8" w:space="0"/>
                  </w:tcBorders>
                  <w:noWrap w:val="0"/>
                  <w:vAlign w:val="center"/>
                </w:tcPr>
                <w:p w14:paraId="0B0156A3">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single" w:color="auto" w:sz="8" w:space="0"/>
                    <w:left w:val="nil"/>
                    <w:bottom w:val="single" w:color="auto" w:sz="8" w:space="0"/>
                    <w:right w:val="single" w:color="auto" w:sz="8" w:space="0"/>
                  </w:tcBorders>
                  <w:noWrap w:val="0"/>
                  <w:vAlign w:val="center"/>
                </w:tcPr>
                <w:p w14:paraId="4E07B40A">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鼓楼区、台江区、仓山区、晋安区、马尾区</w:t>
                  </w:r>
                </w:p>
              </w:tc>
            </w:tr>
            <w:tr w14:paraId="1A7A1662">
              <w:tblPrEx>
                <w:tblCellMar>
                  <w:top w:w="0" w:type="dxa"/>
                  <w:left w:w="108" w:type="dxa"/>
                  <w:bottom w:w="0" w:type="dxa"/>
                  <w:right w:w="108" w:type="dxa"/>
                </w:tblCellMar>
              </w:tblPrEx>
              <w:trPr>
                <w:trHeight w:val="615" w:hRule="atLeast"/>
              </w:trPr>
              <w:tc>
                <w:tcPr>
                  <w:tcW w:w="1014" w:type="dxa"/>
                  <w:vMerge w:val="continue"/>
                  <w:tcBorders>
                    <w:top w:val="single" w:color="auto" w:sz="8" w:space="0"/>
                    <w:left w:val="single" w:color="auto" w:sz="8" w:space="0"/>
                    <w:bottom w:val="single" w:color="auto" w:sz="8" w:space="0"/>
                    <w:right w:val="single" w:color="auto" w:sz="8" w:space="0"/>
                  </w:tcBorders>
                  <w:noWrap w:val="0"/>
                  <w:vAlign w:val="center"/>
                </w:tcPr>
                <w:p w14:paraId="35DFC715">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noWrap w:val="0"/>
                  <w:vAlign w:val="center"/>
                </w:tcPr>
                <w:p w14:paraId="7372747B">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noWrap w:val="0"/>
                  <w:vAlign w:val="center"/>
                </w:tcPr>
                <w:p w14:paraId="385FE0F3">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福清市、长乐市、闽侯县、连江县、罗源县、闽清县、永泰县、平潭县等福州市非区内范围</w:t>
                  </w:r>
                </w:p>
              </w:tc>
            </w:tr>
            <w:tr w14:paraId="6B8E3193">
              <w:tblPrEx>
                <w:tblCellMar>
                  <w:top w:w="0" w:type="dxa"/>
                  <w:left w:w="108" w:type="dxa"/>
                  <w:bottom w:w="0" w:type="dxa"/>
                  <w:right w:w="108" w:type="dxa"/>
                </w:tblCellMar>
              </w:tblPrEx>
              <w:trPr>
                <w:trHeight w:val="390" w:hRule="atLeast"/>
              </w:trPr>
              <w:tc>
                <w:tcPr>
                  <w:tcW w:w="1014" w:type="dxa"/>
                  <w:vMerge w:val="restart"/>
                  <w:tcBorders>
                    <w:top w:val="nil"/>
                    <w:left w:val="single" w:color="auto" w:sz="8" w:space="0"/>
                    <w:bottom w:val="single" w:color="auto" w:sz="8" w:space="0"/>
                    <w:right w:val="single" w:color="auto" w:sz="8" w:space="0"/>
                  </w:tcBorders>
                  <w:noWrap w:val="0"/>
                  <w:vAlign w:val="center"/>
                </w:tcPr>
                <w:p w14:paraId="3747740C">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莆田市</w:t>
                  </w:r>
                </w:p>
              </w:tc>
              <w:tc>
                <w:tcPr>
                  <w:tcW w:w="993" w:type="dxa"/>
                  <w:tcBorders>
                    <w:top w:val="nil"/>
                    <w:left w:val="nil"/>
                    <w:bottom w:val="single" w:color="auto" w:sz="8" w:space="0"/>
                    <w:right w:val="single" w:color="auto" w:sz="8" w:space="0"/>
                  </w:tcBorders>
                  <w:noWrap w:val="0"/>
                  <w:vAlign w:val="center"/>
                </w:tcPr>
                <w:p w14:paraId="635C17D2">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noWrap w:val="0"/>
                  <w:vAlign w:val="center"/>
                </w:tcPr>
                <w:p w14:paraId="41B0FF0E">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城厢区、荔城区、涵江区</w:t>
                  </w:r>
                </w:p>
              </w:tc>
            </w:tr>
            <w:tr w14:paraId="13D1FC1C">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noWrap w:val="0"/>
                  <w:vAlign w:val="center"/>
                </w:tcPr>
                <w:p w14:paraId="6E026F5E">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noWrap w:val="0"/>
                  <w:vAlign w:val="center"/>
                </w:tcPr>
                <w:p w14:paraId="6F262AE4">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noWrap w:val="0"/>
                  <w:vAlign w:val="center"/>
                </w:tcPr>
                <w:p w14:paraId="5F87B534">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秀屿区、湄洲岛、仙游县、湄洲湾北岸开发区等莆田市非区内范围</w:t>
                  </w:r>
                </w:p>
              </w:tc>
            </w:tr>
            <w:tr w14:paraId="04D64E5B">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noWrap w:val="0"/>
                  <w:vAlign w:val="center"/>
                </w:tcPr>
                <w:p w14:paraId="6C7F5D4B">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泉州市</w:t>
                  </w:r>
                </w:p>
              </w:tc>
              <w:tc>
                <w:tcPr>
                  <w:tcW w:w="993" w:type="dxa"/>
                  <w:tcBorders>
                    <w:top w:val="nil"/>
                    <w:left w:val="nil"/>
                    <w:bottom w:val="single" w:color="auto" w:sz="8" w:space="0"/>
                    <w:right w:val="single" w:color="auto" w:sz="8" w:space="0"/>
                  </w:tcBorders>
                  <w:noWrap w:val="0"/>
                  <w:vAlign w:val="center"/>
                </w:tcPr>
                <w:p w14:paraId="068D49B7">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noWrap w:val="0"/>
                  <w:vAlign w:val="center"/>
                </w:tcPr>
                <w:p w14:paraId="15E90C2A">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鲤城区、丰泽区、洛江区、泉港区</w:t>
                  </w:r>
                </w:p>
              </w:tc>
            </w:tr>
            <w:tr w14:paraId="65C58923">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noWrap w:val="0"/>
                  <w:vAlign w:val="center"/>
                </w:tcPr>
                <w:p w14:paraId="42D792D5">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noWrap w:val="0"/>
                  <w:vAlign w:val="center"/>
                </w:tcPr>
                <w:p w14:paraId="732328D8">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noWrap w:val="0"/>
                  <w:vAlign w:val="center"/>
                </w:tcPr>
                <w:p w14:paraId="04ECEEB7">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晋江市、石狮市、南安市、惠安县、安溪县、永春县、德化县等泉州市非区内范围</w:t>
                  </w:r>
                </w:p>
              </w:tc>
            </w:tr>
            <w:tr w14:paraId="00F3ABE4">
              <w:tblPrEx>
                <w:tblCellMar>
                  <w:top w:w="0" w:type="dxa"/>
                  <w:left w:w="108" w:type="dxa"/>
                  <w:bottom w:w="0" w:type="dxa"/>
                  <w:right w:w="108" w:type="dxa"/>
                </w:tblCellMar>
              </w:tblPrEx>
              <w:trPr>
                <w:trHeight w:val="405" w:hRule="atLeast"/>
              </w:trPr>
              <w:tc>
                <w:tcPr>
                  <w:tcW w:w="1014" w:type="dxa"/>
                  <w:vMerge w:val="restart"/>
                  <w:tcBorders>
                    <w:top w:val="nil"/>
                    <w:left w:val="single" w:color="auto" w:sz="8" w:space="0"/>
                    <w:bottom w:val="single" w:color="auto" w:sz="8" w:space="0"/>
                    <w:right w:val="single" w:color="auto" w:sz="8" w:space="0"/>
                  </w:tcBorders>
                  <w:noWrap w:val="0"/>
                  <w:vAlign w:val="center"/>
                </w:tcPr>
                <w:p w14:paraId="1E471B3D">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漳州市</w:t>
                  </w:r>
                </w:p>
              </w:tc>
              <w:tc>
                <w:tcPr>
                  <w:tcW w:w="993" w:type="dxa"/>
                  <w:tcBorders>
                    <w:top w:val="nil"/>
                    <w:left w:val="nil"/>
                    <w:bottom w:val="single" w:color="auto" w:sz="8" w:space="0"/>
                    <w:right w:val="single" w:color="auto" w:sz="8" w:space="0"/>
                  </w:tcBorders>
                  <w:noWrap w:val="0"/>
                  <w:vAlign w:val="center"/>
                </w:tcPr>
                <w:p w14:paraId="17C9B93B">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noWrap w:val="0"/>
                  <w:vAlign w:val="center"/>
                </w:tcPr>
                <w:p w14:paraId="34C75515">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芗城区、龙文区</w:t>
                  </w:r>
                </w:p>
              </w:tc>
            </w:tr>
            <w:tr w14:paraId="1BAF6F28">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noWrap w:val="0"/>
                  <w:vAlign w:val="center"/>
                </w:tcPr>
                <w:p w14:paraId="60A4ED59">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noWrap w:val="0"/>
                  <w:vAlign w:val="center"/>
                </w:tcPr>
                <w:p w14:paraId="24AF2421">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noWrap w:val="0"/>
                  <w:vAlign w:val="center"/>
                </w:tcPr>
                <w:p w14:paraId="43E83078">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龙海市、云霄县、漳浦县、诏安县、长泰县、东山县、南靖县、平和县、华安县等漳州市非区内范围</w:t>
                  </w:r>
                </w:p>
              </w:tc>
            </w:tr>
            <w:tr w14:paraId="4360632B">
              <w:tblPrEx>
                <w:tblCellMar>
                  <w:top w:w="0" w:type="dxa"/>
                  <w:left w:w="108" w:type="dxa"/>
                  <w:bottom w:w="0" w:type="dxa"/>
                  <w:right w:w="108" w:type="dxa"/>
                </w:tblCellMar>
              </w:tblPrEx>
              <w:trPr>
                <w:trHeight w:val="285" w:hRule="atLeast"/>
              </w:trPr>
              <w:tc>
                <w:tcPr>
                  <w:tcW w:w="1014" w:type="dxa"/>
                  <w:vMerge w:val="restart"/>
                  <w:tcBorders>
                    <w:top w:val="nil"/>
                    <w:left w:val="single" w:color="auto" w:sz="8" w:space="0"/>
                    <w:bottom w:val="single" w:color="auto" w:sz="8" w:space="0"/>
                    <w:right w:val="single" w:color="auto" w:sz="8" w:space="0"/>
                  </w:tcBorders>
                  <w:noWrap w:val="0"/>
                  <w:vAlign w:val="center"/>
                </w:tcPr>
                <w:p w14:paraId="0455E470">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龙岩市</w:t>
                  </w:r>
                </w:p>
              </w:tc>
              <w:tc>
                <w:tcPr>
                  <w:tcW w:w="993" w:type="dxa"/>
                  <w:tcBorders>
                    <w:top w:val="nil"/>
                    <w:left w:val="nil"/>
                    <w:bottom w:val="single" w:color="auto" w:sz="8" w:space="0"/>
                    <w:right w:val="single" w:color="auto" w:sz="8" w:space="0"/>
                  </w:tcBorders>
                  <w:noWrap w:val="0"/>
                  <w:vAlign w:val="center"/>
                </w:tcPr>
                <w:p w14:paraId="148F64B8">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noWrap w:val="0"/>
                  <w:vAlign w:val="center"/>
                </w:tcPr>
                <w:p w14:paraId="4353136F">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新罗区</w:t>
                  </w:r>
                </w:p>
              </w:tc>
            </w:tr>
            <w:tr w14:paraId="5951B72F">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noWrap w:val="0"/>
                  <w:vAlign w:val="center"/>
                </w:tcPr>
                <w:p w14:paraId="195BE228">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noWrap w:val="0"/>
                  <w:vAlign w:val="center"/>
                </w:tcPr>
                <w:p w14:paraId="3AF7851B">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noWrap w:val="0"/>
                  <w:vAlign w:val="center"/>
                </w:tcPr>
                <w:p w14:paraId="134B48E4">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永定区、长汀县、连城县、上杭县、武平县等龙岩市非区内范围</w:t>
                  </w:r>
                </w:p>
              </w:tc>
            </w:tr>
            <w:tr w14:paraId="7118784A">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noWrap w:val="0"/>
                  <w:vAlign w:val="center"/>
                </w:tcPr>
                <w:p w14:paraId="624F7CA6">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三明市</w:t>
                  </w:r>
                </w:p>
              </w:tc>
              <w:tc>
                <w:tcPr>
                  <w:tcW w:w="993" w:type="dxa"/>
                  <w:tcBorders>
                    <w:top w:val="nil"/>
                    <w:left w:val="nil"/>
                    <w:bottom w:val="single" w:color="auto" w:sz="8" w:space="0"/>
                    <w:right w:val="single" w:color="auto" w:sz="8" w:space="0"/>
                  </w:tcBorders>
                  <w:noWrap w:val="0"/>
                  <w:vAlign w:val="center"/>
                </w:tcPr>
                <w:p w14:paraId="2E1B92CB">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noWrap w:val="0"/>
                  <w:vAlign w:val="center"/>
                </w:tcPr>
                <w:p w14:paraId="277C3639">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梅列区、三元区</w:t>
                  </w:r>
                </w:p>
              </w:tc>
            </w:tr>
            <w:tr w14:paraId="695D24F7">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noWrap w:val="0"/>
                  <w:vAlign w:val="center"/>
                </w:tcPr>
                <w:p w14:paraId="47E41BA2">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noWrap w:val="0"/>
                  <w:vAlign w:val="center"/>
                </w:tcPr>
                <w:p w14:paraId="4FE99012">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noWrap w:val="0"/>
                  <w:vAlign w:val="center"/>
                </w:tcPr>
                <w:p w14:paraId="201DBA75">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永安市、沙县、尤溪县、大田县、明溪县、清流县、宁化县、将乐县、泰宁县、建宁县等三明市非区内范围</w:t>
                  </w:r>
                </w:p>
              </w:tc>
            </w:tr>
            <w:tr w14:paraId="54003E52">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noWrap w:val="0"/>
                  <w:vAlign w:val="center"/>
                </w:tcPr>
                <w:p w14:paraId="11A660DD">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南平市</w:t>
                  </w:r>
                </w:p>
              </w:tc>
              <w:tc>
                <w:tcPr>
                  <w:tcW w:w="993" w:type="dxa"/>
                  <w:tcBorders>
                    <w:top w:val="nil"/>
                    <w:left w:val="nil"/>
                    <w:bottom w:val="single" w:color="auto" w:sz="8" w:space="0"/>
                    <w:right w:val="single" w:color="auto" w:sz="8" w:space="0"/>
                  </w:tcBorders>
                  <w:noWrap w:val="0"/>
                  <w:vAlign w:val="center"/>
                </w:tcPr>
                <w:p w14:paraId="0A75F92F">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noWrap w:val="0"/>
                  <w:vAlign w:val="center"/>
                </w:tcPr>
                <w:p w14:paraId="6CBA4D28">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延平区</w:t>
                  </w:r>
                </w:p>
              </w:tc>
            </w:tr>
            <w:tr w14:paraId="38E7A995">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noWrap w:val="0"/>
                  <w:vAlign w:val="center"/>
                </w:tcPr>
                <w:p w14:paraId="74942ABB">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noWrap w:val="0"/>
                  <w:vAlign w:val="center"/>
                </w:tcPr>
                <w:p w14:paraId="6D0451F3">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noWrap w:val="0"/>
                  <w:vAlign w:val="center"/>
                </w:tcPr>
                <w:p w14:paraId="715CBF48">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顺昌县、建瓯市、邵武市、建阳区、政和县、松溪县、浦城县、武夷山市、光泽县等南平市非区内范围</w:t>
                  </w:r>
                </w:p>
              </w:tc>
            </w:tr>
            <w:tr w14:paraId="147D4876">
              <w:tblPrEx>
                <w:tblCellMar>
                  <w:top w:w="0" w:type="dxa"/>
                  <w:left w:w="108" w:type="dxa"/>
                  <w:bottom w:w="0" w:type="dxa"/>
                  <w:right w:w="108" w:type="dxa"/>
                </w:tblCellMar>
              </w:tblPrEx>
              <w:trPr>
                <w:trHeight w:val="375" w:hRule="atLeast"/>
              </w:trPr>
              <w:tc>
                <w:tcPr>
                  <w:tcW w:w="1014" w:type="dxa"/>
                  <w:vMerge w:val="restart"/>
                  <w:tcBorders>
                    <w:top w:val="nil"/>
                    <w:left w:val="single" w:color="auto" w:sz="8" w:space="0"/>
                    <w:bottom w:val="single" w:color="auto" w:sz="8" w:space="0"/>
                    <w:right w:val="single" w:color="auto" w:sz="8" w:space="0"/>
                  </w:tcBorders>
                  <w:noWrap w:val="0"/>
                  <w:vAlign w:val="center"/>
                </w:tcPr>
                <w:p w14:paraId="5A7EC1BA">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宁德市</w:t>
                  </w:r>
                </w:p>
              </w:tc>
              <w:tc>
                <w:tcPr>
                  <w:tcW w:w="993" w:type="dxa"/>
                  <w:tcBorders>
                    <w:top w:val="nil"/>
                    <w:left w:val="nil"/>
                    <w:bottom w:val="single" w:color="auto" w:sz="8" w:space="0"/>
                    <w:right w:val="single" w:color="auto" w:sz="8" w:space="0"/>
                  </w:tcBorders>
                  <w:noWrap w:val="0"/>
                  <w:vAlign w:val="center"/>
                </w:tcPr>
                <w:p w14:paraId="4421FFA0">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noWrap w:val="0"/>
                  <w:vAlign w:val="center"/>
                </w:tcPr>
                <w:p w14:paraId="403E82C3">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蕉城区、东侨新区</w:t>
                  </w:r>
                </w:p>
              </w:tc>
            </w:tr>
            <w:tr w14:paraId="302F3A37">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noWrap w:val="0"/>
                  <w:vAlign w:val="center"/>
                </w:tcPr>
                <w:p w14:paraId="7B593D89">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noWrap w:val="0"/>
                  <w:vAlign w:val="center"/>
                </w:tcPr>
                <w:p w14:paraId="134EDE22">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noWrap w:val="0"/>
                  <w:vAlign w:val="center"/>
                </w:tcPr>
                <w:p w14:paraId="35A48F2B">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福安市、福鼎市、霞浦县、古田县、屏南县、寿宁县、周宁县、柘荣县等宁德市非区内范围</w:t>
                  </w:r>
                </w:p>
              </w:tc>
            </w:tr>
          </w:tbl>
          <w:p w14:paraId="1368FF1F">
            <w:pPr>
              <w:keepNext w:val="0"/>
              <w:keepLines w:val="0"/>
              <w:suppressLineNumbers w:val="0"/>
              <w:shd w:val="clear" w:color="auto" w:fill="FFFFFF"/>
              <w:spacing w:before="0" w:beforeAutospacing="0" w:after="0" w:afterAutospacing="0"/>
              <w:ind w:left="0" w:right="0"/>
              <w:rPr>
                <w:rFonts w:hint="default" w:ascii="宋体" w:hAnsi="宋体" w:eastAsia="宋体" w:cs="宋体"/>
                <w:color w:val="auto"/>
                <w:szCs w:val="21"/>
                <w:highlight w:val="none"/>
              </w:rPr>
            </w:pPr>
          </w:p>
        </w:tc>
      </w:tr>
    </w:tbl>
    <w:p w14:paraId="27C68F9F">
      <w:pPr>
        <w:rPr>
          <w:rFonts w:ascii="宋体" w:hAnsi="宋体" w:eastAsia="宋体"/>
          <w:color w:val="auto"/>
          <w:sz w:val="24"/>
          <w:szCs w:val="24"/>
          <w:highlight w:val="none"/>
        </w:rPr>
      </w:pPr>
    </w:p>
    <w:p w14:paraId="14FEBD23">
      <w:pPr>
        <w:rPr>
          <w:rFonts w:ascii="宋体" w:hAnsi="宋体" w:eastAsia="宋体"/>
          <w:color w:val="auto"/>
          <w:highlight w:val="none"/>
        </w:rPr>
      </w:pPr>
    </w:p>
    <w:p w14:paraId="53D40618">
      <w:pPr>
        <w:rPr>
          <w:rFonts w:ascii="宋体" w:hAnsi="宋体" w:eastAsia="宋体"/>
          <w:color w:val="auto"/>
          <w:highlight w:val="none"/>
        </w:rPr>
        <w:sectPr>
          <w:pgSz w:w="11906" w:h="16838"/>
          <w:pgMar w:top="1440" w:right="1800" w:bottom="1440" w:left="1800" w:header="851" w:footer="992" w:gutter="0"/>
          <w:cols w:space="425" w:num="1"/>
          <w:docGrid w:type="lines" w:linePitch="312" w:charSpace="0"/>
        </w:sectPr>
      </w:pPr>
    </w:p>
    <w:p w14:paraId="2340FAC8">
      <w:pPr>
        <w:spacing w:line="360" w:lineRule="auto"/>
        <w:rPr>
          <w:rFonts w:ascii="宋体" w:hAnsi="宋体" w:eastAsia="宋体"/>
          <w:b/>
          <w:bCs/>
          <w:color w:val="auto"/>
          <w:sz w:val="24"/>
          <w:szCs w:val="24"/>
          <w:highlight w:val="none"/>
        </w:rPr>
      </w:pPr>
      <w:bookmarkStart w:id="1" w:name="_Hlk97132415"/>
      <w:r>
        <w:rPr>
          <w:rFonts w:hint="eastAsia" w:ascii="宋体" w:hAnsi="宋体" w:eastAsia="宋体"/>
          <w:b/>
          <w:bCs/>
          <w:color w:val="auto"/>
          <w:sz w:val="24"/>
          <w:szCs w:val="24"/>
          <w:highlight w:val="none"/>
        </w:rPr>
        <w:t>附件4：定货单样单</w:t>
      </w:r>
    </w:p>
    <w:p w14:paraId="30D1946C">
      <w:pPr>
        <w:jc w:val="center"/>
        <w:rPr>
          <w:rFonts w:ascii="宋体" w:hAnsi="宋体"/>
          <w:b/>
          <w:bCs/>
          <w:color w:val="auto"/>
          <w:sz w:val="32"/>
          <w:szCs w:val="32"/>
          <w:highlight w:val="none"/>
        </w:rPr>
      </w:pPr>
      <w:r>
        <w:rPr>
          <w:rFonts w:hint="eastAsia" w:ascii="宋体" w:hAnsi="宋体"/>
          <w:b/>
          <w:bCs/>
          <w:color w:val="auto"/>
          <w:sz w:val="32"/>
          <w:szCs w:val="32"/>
          <w:highlight w:val="none"/>
        </w:rPr>
        <w:t>定货单</w:t>
      </w:r>
    </w:p>
    <w:bookmarkEnd w:id="1"/>
    <w:p w14:paraId="6617A76D">
      <w:pPr>
        <w:widowControl/>
        <w:spacing w:line="440" w:lineRule="exact"/>
        <w:ind w:firstLine="2400" w:firstLineChars="1000"/>
        <w:jc w:val="righ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（定货单编号：           ）</w:t>
      </w:r>
    </w:p>
    <w:p w14:paraId="52F067F5">
      <w:pPr>
        <w:jc w:val="center"/>
        <w:rPr>
          <w:rFonts w:ascii="宋体" w:hAnsi="宋体"/>
          <w:color w:val="auto"/>
          <w:sz w:val="24"/>
          <w:highlight w:val="none"/>
        </w:rPr>
      </w:pPr>
    </w:p>
    <w:p w14:paraId="65C89CEA">
      <w:pPr>
        <w:widowControl/>
        <w:spacing w:line="440" w:lineRule="exact"/>
        <w:ind w:firstLine="2400" w:firstLineChars="100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公司：</w:t>
      </w:r>
    </w:p>
    <w:p w14:paraId="09AE9394">
      <w:pPr>
        <w:widowControl/>
        <w:spacing w:line="440" w:lineRule="exact"/>
        <w:ind w:right="357" w:rightChars="170" w:firstLine="480" w:firstLineChars="20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根据我司与贵司[</w:t>
      </w:r>
      <w:r>
        <w:rPr>
          <w:rFonts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rPr>
        <w:t xml:space="preserve">]年[  ]月[  ]日签订的[              ]号《 </w:t>
      </w:r>
      <w:r>
        <w:rPr>
          <w:rFonts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rPr>
        <w:t>大宗采购合同》，现我司向贵司确认本次采购产品明细如下：</w:t>
      </w:r>
    </w:p>
    <w:p w14:paraId="2F489CA0">
      <w:pPr>
        <w:widowControl/>
        <w:spacing w:line="440" w:lineRule="exact"/>
        <w:ind w:right="357" w:rightChars="170" w:firstLine="480" w:firstLineChars="200"/>
        <w:rPr>
          <w:rFonts w:ascii="宋体" w:hAnsi="宋体" w:cs="宋体"/>
          <w:color w:val="auto"/>
          <w:sz w:val="24"/>
          <w:highlight w:val="none"/>
        </w:rPr>
      </w:pPr>
    </w:p>
    <w:tbl>
      <w:tblPr>
        <w:tblStyle w:val="14"/>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1666"/>
        <w:gridCol w:w="1418"/>
        <w:gridCol w:w="1701"/>
        <w:gridCol w:w="1319"/>
        <w:gridCol w:w="1560"/>
      </w:tblGrid>
      <w:tr w14:paraId="3BE1B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696" w:type="dxa"/>
            <w:noWrap w:val="0"/>
            <w:vAlign w:val="center"/>
          </w:tcPr>
          <w:p w14:paraId="43FB2D01">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产品名称</w:t>
            </w:r>
          </w:p>
        </w:tc>
        <w:tc>
          <w:tcPr>
            <w:tcW w:w="1666" w:type="dxa"/>
            <w:noWrap w:val="0"/>
            <w:vAlign w:val="center"/>
          </w:tcPr>
          <w:p w14:paraId="7B1848F9">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规格型号</w:t>
            </w:r>
          </w:p>
        </w:tc>
        <w:tc>
          <w:tcPr>
            <w:tcW w:w="1418" w:type="dxa"/>
            <w:noWrap w:val="0"/>
            <w:vAlign w:val="center"/>
          </w:tcPr>
          <w:p w14:paraId="31DF462D">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制造商</w:t>
            </w:r>
          </w:p>
        </w:tc>
        <w:tc>
          <w:tcPr>
            <w:tcW w:w="1701" w:type="dxa"/>
            <w:noWrap w:val="0"/>
            <w:vAlign w:val="center"/>
          </w:tcPr>
          <w:p w14:paraId="6FF5D49E">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单价（元）</w:t>
            </w:r>
          </w:p>
        </w:tc>
        <w:tc>
          <w:tcPr>
            <w:tcW w:w="1319" w:type="dxa"/>
            <w:noWrap w:val="0"/>
            <w:vAlign w:val="center"/>
          </w:tcPr>
          <w:p w14:paraId="3B9FB8E4">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数量</w:t>
            </w:r>
          </w:p>
        </w:tc>
        <w:tc>
          <w:tcPr>
            <w:tcW w:w="1560" w:type="dxa"/>
            <w:noWrap w:val="0"/>
            <w:vAlign w:val="center"/>
          </w:tcPr>
          <w:p w14:paraId="06248A07">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总金（元）</w:t>
            </w:r>
          </w:p>
        </w:tc>
      </w:tr>
      <w:tr w14:paraId="7B6BE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696" w:type="dxa"/>
            <w:noWrap w:val="0"/>
            <w:vAlign w:val="center"/>
          </w:tcPr>
          <w:p w14:paraId="5ADA28CD">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666" w:type="dxa"/>
            <w:noWrap w:val="0"/>
            <w:vAlign w:val="center"/>
          </w:tcPr>
          <w:p w14:paraId="72891635">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418" w:type="dxa"/>
            <w:noWrap w:val="0"/>
            <w:vAlign w:val="center"/>
          </w:tcPr>
          <w:p w14:paraId="798A89C0">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Cs w:val="21"/>
                <w:highlight w:val="none"/>
              </w:rPr>
            </w:pPr>
          </w:p>
        </w:tc>
        <w:tc>
          <w:tcPr>
            <w:tcW w:w="1701" w:type="dxa"/>
            <w:noWrap w:val="0"/>
            <w:vAlign w:val="center"/>
          </w:tcPr>
          <w:p w14:paraId="4EF4D0BF">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319" w:type="dxa"/>
            <w:noWrap w:val="0"/>
            <w:vAlign w:val="center"/>
          </w:tcPr>
          <w:p w14:paraId="0E9288F8">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noWrap w:val="0"/>
            <w:vAlign w:val="center"/>
          </w:tcPr>
          <w:p w14:paraId="3263DCC2">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r>
      <w:tr w14:paraId="64B75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696" w:type="dxa"/>
            <w:noWrap w:val="0"/>
            <w:vAlign w:val="center"/>
          </w:tcPr>
          <w:p w14:paraId="371FD9CF">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666" w:type="dxa"/>
            <w:noWrap w:val="0"/>
            <w:vAlign w:val="center"/>
          </w:tcPr>
          <w:p w14:paraId="58BE19E9">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418" w:type="dxa"/>
            <w:noWrap w:val="0"/>
            <w:vAlign w:val="center"/>
          </w:tcPr>
          <w:p w14:paraId="4665D43E">
            <w:pPr>
              <w:keepNext w:val="0"/>
              <w:keepLines w:val="0"/>
              <w:widowControl/>
              <w:suppressLineNumbers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701" w:type="dxa"/>
            <w:noWrap w:val="0"/>
            <w:vAlign w:val="center"/>
          </w:tcPr>
          <w:p w14:paraId="0391B5D1">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319" w:type="dxa"/>
            <w:noWrap w:val="0"/>
            <w:vAlign w:val="center"/>
          </w:tcPr>
          <w:p w14:paraId="412A30B6">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noWrap w:val="0"/>
            <w:vAlign w:val="center"/>
          </w:tcPr>
          <w:p w14:paraId="2B9A7006">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r>
      <w:tr w14:paraId="26271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481" w:type="dxa"/>
            <w:gridSpan w:val="4"/>
            <w:noWrap w:val="0"/>
            <w:vAlign w:val="center"/>
          </w:tcPr>
          <w:p w14:paraId="747B29A1">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合计：</w:t>
            </w:r>
          </w:p>
        </w:tc>
        <w:tc>
          <w:tcPr>
            <w:tcW w:w="1319" w:type="dxa"/>
            <w:noWrap w:val="0"/>
            <w:vAlign w:val="center"/>
          </w:tcPr>
          <w:p w14:paraId="5C8CD42F">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noWrap w:val="0"/>
            <w:vAlign w:val="bottom"/>
          </w:tcPr>
          <w:p w14:paraId="23D7EDDD">
            <w:pPr>
              <w:keepNext w:val="0"/>
              <w:keepLines w:val="0"/>
              <w:widowControl/>
              <w:suppressLineNumbers w:val="0"/>
              <w:spacing w:before="0" w:beforeAutospacing="0" w:after="0" w:afterAutospacing="0"/>
              <w:ind w:left="0" w:right="0"/>
              <w:jc w:val="center"/>
              <w:textAlignment w:val="bottom"/>
              <w:rPr>
                <w:rFonts w:hint="default" w:ascii="宋体" w:hAnsi="宋体" w:eastAsia="宋体" w:cs="等线"/>
                <w:color w:val="auto"/>
                <w:sz w:val="22"/>
                <w:highlight w:val="none"/>
              </w:rPr>
            </w:pPr>
          </w:p>
        </w:tc>
      </w:tr>
      <w:tr w14:paraId="11DE9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60" w:type="dxa"/>
            <w:gridSpan w:val="6"/>
            <w:noWrap w:val="0"/>
            <w:vAlign w:val="center"/>
          </w:tcPr>
          <w:p w14:paraId="2D096F8C">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定货单总价： </w:t>
            </w:r>
            <w:r>
              <w:rPr>
                <w:rFonts w:hint="default"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rPr>
              <w:t>元整</w:t>
            </w:r>
          </w:p>
        </w:tc>
      </w:tr>
    </w:tbl>
    <w:p w14:paraId="457FA06E">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注：授权经办指定邮箱发送的扫描件与原件具有同等法律效力。</w:t>
      </w:r>
    </w:p>
    <w:p w14:paraId="72491CBF">
      <w:pPr>
        <w:widowControl/>
        <w:spacing w:line="440" w:lineRule="exact"/>
        <w:rPr>
          <w:rFonts w:ascii="宋体" w:hAnsi="宋体" w:cs="宋体"/>
          <w:color w:val="auto"/>
          <w:sz w:val="24"/>
          <w:highlight w:val="none"/>
        </w:rPr>
      </w:pPr>
    </w:p>
    <w:p w14:paraId="65957B91">
      <w:pPr>
        <w:widowControl/>
        <w:spacing w:line="440" w:lineRule="exact"/>
        <w:rPr>
          <w:rFonts w:ascii="宋体" w:hAnsi="宋体" w:cs="宋体"/>
          <w:color w:val="auto"/>
          <w:sz w:val="24"/>
          <w:highlight w:val="none"/>
        </w:rPr>
      </w:pPr>
    </w:p>
    <w:p w14:paraId="79F04E9E">
      <w:pPr>
        <w:spacing w:line="360" w:lineRule="auto"/>
        <w:ind w:firstLine="480" w:firstLineChars="200"/>
        <w:jc w:val="righ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采购单位：</w:t>
      </w:r>
      <w:bookmarkStart w:id="2" w:name="_Hlk97045152"/>
      <w:r>
        <w:rPr>
          <w:rFonts w:hint="eastAsia" w:ascii="宋体" w:hAnsi="宋体" w:eastAsia="宋体" w:cs="宋体"/>
          <w:color w:val="auto"/>
          <w:kern w:val="0"/>
          <w:sz w:val="24"/>
          <w:szCs w:val="24"/>
          <w:highlight w:val="none"/>
        </w:rPr>
        <w:t>厦门万翔网络商务有限公司</w:t>
      </w:r>
    </w:p>
    <w:bookmarkEnd w:id="2"/>
    <w:p w14:paraId="7F8478CF">
      <w:pPr>
        <w:spacing w:line="360" w:lineRule="auto"/>
        <w:ind w:firstLine="480" w:firstLineChars="200"/>
        <w:jc w:val="righ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日期： </w:t>
      </w:r>
      <w:r>
        <w:rPr>
          <w:rFonts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rPr>
        <w:t xml:space="preserve">年 </w:t>
      </w:r>
      <w:r>
        <w:rPr>
          <w:rFonts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rPr>
        <w:t xml:space="preserve">月 </w:t>
      </w:r>
      <w:r>
        <w:rPr>
          <w:rFonts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rPr>
        <w:t>日</w:t>
      </w:r>
    </w:p>
    <w:p w14:paraId="56B305F9">
      <w:pPr>
        <w:spacing w:line="360" w:lineRule="auto"/>
        <w:ind w:firstLine="480" w:firstLineChars="200"/>
        <w:rPr>
          <w:rFonts w:ascii="宋体" w:hAnsi="宋体" w:eastAsia="宋体" w:cs="宋体"/>
          <w:color w:val="auto"/>
          <w:kern w:val="0"/>
          <w:sz w:val="24"/>
          <w:szCs w:val="24"/>
          <w:highlight w:val="none"/>
        </w:rPr>
      </w:pPr>
    </w:p>
    <w:p w14:paraId="04485998">
      <w:pPr>
        <w:rPr>
          <w:rFonts w:ascii="宋体" w:hAnsi="宋体" w:eastAsia="宋体"/>
          <w:color w:val="auto"/>
          <w:highlight w:val="none"/>
        </w:rPr>
      </w:pPr>
    </w:p>
    <w:p w14:paraId="280010C1">
      <w:pPr>
        <w:rPr>
          <w:rFonts w:ascii="宋体" w:hAnsi="宋体" w:eastAsia="宋体"/>
          <w:color w:val="auto"/>
          <w:highlight w:val="none"/>
        </w:rPr>
      </w:pPr>
    </w:p>
    <w:p w14:paraId="56A7ABB5">
      <w:pPr>
        <w:rPr>
          <w:rFonts w:ascii="宋体" w:hAnsi="宋体" w:eastAsia="宋体"/>
          <w:color w:val="auto"/>
          <w:highlight w:val="none"/>
        </w:rPr>
      </w:pPr>
    </w:p>
    <w:p w14:paraId="3D040ACF">
      <w:pPr>
        <w:rPr>
          <w:rFonts w:ascii="宋体" w:hAnsi="宋体" w:eastAsia="宋体"/>
          <w:color w:val="auto"/>
          <w:highlight w:val="none"/>
        </w:rPr>
      </w:pPr>
    </w:p>
    <w:p w14:paraId="58ADA661">
      <w:pPr>
        <w:rPr>
          <w:rFonts w:ascii="宋体" w:hAnsi="宋体" w:eastAsia="宋体"/>
          <w:color w:val="auto"/>
          <w:highlight w:val="none"/>
        </w:rPr>
      </w:pPr>
    </w:p>
    <w:p w14:paraId="557096DC">
      <w:pPr>
        <w:rPr>
          <w:rFonts w:ascii="宋体" w:hAnsi="宋体" w:eastAsia="宋体"/>
          <w:color w:val="auto"/>
          <w:highlight w:val="none"/>
        </w:rPr>
      </w:pPr>
    </w:p>
    <w:p w14:paraId="51C5457A">
      <w:pPr>
        <w:rPr>
          <w:rFonts w:ascii="宋体" w:hAnsi="宋体" w:eastAsia="宋体"/>
          <w:color w:val="auto"/>
          <w:highlight w:val="none"/>
        </w:rPr>
      </w:pPr>
    </w:p>
    <w:p w14:paraId="2EB23CFF">
      <w:pPr>
        <w:rPr>
          <w:rFonts w:ascii="宋体" w:hAnsi="宋体" w:eastAsia="宋体"/>
          <w:color w:val="auto"/>
          <w:highlight w:val="none"/>
        </w:rPr>
      </w:pPr>
    </w:p>
    <w:p w14:paraId="61CB27C1">
      <w:pPr>
        <w:rPr>
          <w:rFonts w:ascii="宋体" w:hAnsi="宋体" w:eastAsia="宋体"/>
          <w:color w:val="auto"/>
          <w:highlight w:val="none"/>
        </w:rPr>
      </w:pPr>
    </w:p>
    <w:p w14:paraId="2E180D3C">
      <w:pPr>
        <w:rPr>
          <w:rFonts w:ascii="宋体" w:hAnsi="宋体" w:eastAsia="宋体"/>
          <w:color w:val="auto"/>
          <w:highlight w:val="none"/>
        </w:rPr>
      </w:pPr>
    </w:p>
    <w:p w14:paraId="70ED2E3E">
      <w:pPr>
        <w:rPr>
          <w:rFonts w:ascii="宋体" w:hAnsi="宋体" w:eastAsia="宋体"/>
          <w:color w:val="auto"/>
          <w:highlight w:val="none"/>
        </w:rPr>
      </w:pPr>
    </w:p>
    <w:p w14:paraId="2AE66A4A">
      <w:pPr>
        <w:rPr>
          <w:rFonts w:ascii="宋体" w:hAnsi="宋体" w:eastAsia="宋体"/>
          <w:color w:val="auto"/>
          <w:highlight w:val="none"/>
        </w:rPr>
      </w:pPr>
    </w:p>
    <w:p w14:paraId="464B9296">
      <w:pPr>
        <w:rPr>
          <w:rFonts w:ascii="宋体" w:hAnsi="宋体" w:eastAsia="宋体"/>
          <w:color w:val="auto"/>
          <w:highlight w:val="none"/>
        </w:rPr>
      </w:pPr>
    </w:p>
    <w:p w14:paraId="4EA3D369">
      <w:pPr>
        <w:rPr>
          <w:rFonts w:ascii="宋体" w:hAnsi="宋体" w:eastAsia="宋体"/>
          <w:color w:val="auto"/>
          <w:highlight w:val="none"/>
        </w:rPr>
      </w:pPr>
    </w:p>
    <w:p w14:paraId="17F43862">
      <w:pPr>
        <w:rPr>
          <w:rFonts w:ascii="宋体" w:hAnsi="宋体" w:eastAsia="宋体"/>
          <w:color w:val="auto"/>
          <w:highlight w:val="none"/>
        </w:rPr>
      </w:pPr>
    </w:p>
    <w:p w14:paraId="3C9ECF95">
      <w:pPr>
        <w:rPr>
          <w:rFonts w:ascii="宋体" w:hAnsi="宋体" w:eastAsia="宋体"/>
          <w:color w:val="auto"/>
          <w:highlight w:val="none"/>
        </w:rPr>
      </w:pPr>
    </w:p>
    <w:p w14:paraId="5DCB9202">
      <w:pPr>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附件5：验收单样单</w:t>
      </w:r>
    </w:p>
    <w:p w14:paraId="65835D5A">
      <w:pPr>
        <w:rPr>
          <w:rFonts w:ascii="宋体" w:hAnsi="宋体" w:eastAsia="宋体"/>
          <w:b/>
          <w:bCs/>
          <w:color w:val="auto"/>
          <w:sz w:val="24"/>
          <w:szCs w:val="24"/>
          <w:highlight w:val="none"/>
        </w:rPr>
      </w:pPr>
      <w:r>
        <w:rPr>
          <w:rFonts w:ascii="宋体" w:hAnsi="宋体" w:eastAsia="宋体"/>
          <w:b/>
          <w:color w:val="auto"/>
          <w:sz w:val="24"/>
          <w:szCs w:val="24"/>
          <w:highlight w:val="none"/>
        </w:rPr>
        <w:drawing>
          <wp:inline distT="0" distB="0" distL="114300" distR="114300">
            <wp:extent cx="5274310" cy="7529830"/>
            <wp:effectExtent l="0" t="0" r="2540" b="13970"/>
            <wp:docPr id="1" name="图片 1" descr="副本验收报告格式(最终稿）(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副本验收报告格式(最终稿）(2)"/>
                    <pic:cNvPicPr>
                      <a:picLocks noChangeAspect="1"/>
                    </pic:cNvPicPr>
                  </pic:nvPicPr>
                  <pic:blipFill>
                    <a:blip r:embed="rId12"/>
                    <a:stretch>
                      <a:fillRect/>
                    </a:stretch>
                  </pic:blipFill>
                  <pic:spPr>
                    <a:xfrm>
                      <a:off x="0" y="0"/>
                      <a:ext cx="5274310" cy="7529830"/>
                    </a:xfrm>
                    <a:prstGeom prst="rect">
                      <a:avLst/>
                    </a:prstGeom>
                    <a:noFill/>
                    <a:ln>
                      <a:noFill/>
                    </a:ln>
                  </pic:spPr>
                </pic:pic>
              </a:graphicData>
            </a:graphic>
          </wp:inline>
        </w:drawing>
      </w:r>
    </w:p>
    <w:p w14:paraId="36D80C88">
      <w:pPr>
        <w:rPr>
          <w:color w:val="auto"/>
          <w:highlight w:val="none"/>
        </w:rPr>
      </w:pPr>
      <w:r>
        <w:rPr>
          <w:color w:val="auto"/>
          <w:highlight w:val="none"/>
        </w:rPr>
        <w:t>若在合同期内卖方有任何产品型号或配件停产且无法提供符合买方要求的升级型号或配件则视为严重违约，卖方应按每款机型20000元向买方缴纳违约金，买方有权单方面解除采购合同，没收履约保证金并且有权与卖方之后第一位的中标候选供应商签订合同。</w:t>
      </w:r>
    </w:p>
    <w:p w14:paraId="4CE1CB09">
      <w:pPr>
        <w:rPr>
          <w:color w:val="auto"/>
          <w:highlight w:val="none"/>
        </w:rPr>
      </w:pPr>
    </w:p>
    <w:bookmarkEnd w:id="3"/>
    <w:sectPr>
      <w:footerReference r:id="rId10"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553BFE">
    <w:pPr>
      <w:pStyle w:val="8"/>
      <w:rPr>
        <w:rFonts w:ascii="宋体" w:hAnsi="宋体"/>
        <w:sz w:val="21"/>
        <w:szCs w:val="21"/>
      </w:rPr>
    </w:pPr>
    <w:r>
      <w:rPr>
        <w:rFonts w:hint="eastAsia"/>
      </w:rPr>
      <w:t xml:space="preserve">                                          </w:t>
    </w:r>
    <w:r>
      <w:rPr>
        <w:rFonts w:hint="eastAsia" w:ascii="宋体" w:hAnsi="宋体"/>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12B7D">
    <w:pPr>
      <w:pStyle w:val="8"/>
      <w:jc w:val="center"/>
    </w:pPr>
    <w:r>
      <w:rPr>
        <w:rFonts w:hint="eastAsia"/>
      </w:rPr>
      <w:t>3-1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1B0D5E">
    <w:pPr>
      <w:pStyle w:val="8"/>
      <w:rPr>
        <w:rFonts w:ascii="宋体" w:hAnsi="宋体"/>
      </w:rPr>
    </w:pPr>
    <w:r>
      <w:rPr>
        <w:rFonts w:hint="eastAsia"/>
      </w:rPr>
      <w:t xml:space="preserve">                                          </w:t>
    </w:r>
    <w:r>
      <w:rPr>
        <w:rFonts w:hint="eastAsia" w:ascii="宋体" w:hAnsi="宋体"/>
        <w:sz w:val="21"/>
        <w:szCs w:val="21"/>
      </w:rPr>
      <w:t xml:space="preserve">   </w:t>
    </w:r>
    <w:r>
      <w:rPr>
        <w:rFonts w:ascii="宋体" w:hAnsi="宋体"/>
      </w:rPr>
      <w:t xml:space="preserve"> 1-</w:t>
    </w:r>
    <w:r>
      <w:rPr>
        <w:rFonts w:ascii="宋体" w:hAnsi="宋体"/>
      </w:rPr>
      <w:fldChar w:fldCharType="begin"/>
    </w:r>
    <w:r>
      <w:rPr>
        <w:rStyle w:val="17"/>
        <w:rFonts w:ascii="宋体" w:hAnsi="宋体"/>
      </w:rPr>
      <w:instrText xml:space="preserve"> PAGE </w:instrText>
    </w:r>
    <w:r>
      <w:rPr>
        <w:rFonts w:ascii="宋体" w:hAnsi="宋体"/>
      </w:rPr>
      <w:fldChar w:fldCharType="separate"/>
    </w:r>
    <w:r>
      <w:rPr>
        <w:rStyle w:val="17"/>
        <w:rFonts w:ascii="宋体" w:hAnsi="宋体"/>
      </w:rPr>
      <w:t>1</w:t>
    </w:r>
    <w:r>
      <w:rPr>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2B1671">
    <w:pPr>
      <w:pStyle w:val="8"/>
      <w:jc w:val="center"/>
      <w:rPr>
        <w:rFonts w:ascii="宋体" w:hAnsi="宋体"/>
      </w:rPr>
    </w:pPr>
    <w:r>
      <w:rPr>
        <w:rStyle w:val="17"/>
        <w:rFonts w:ascii="宋体" w:hAnsi="宋体"/>
        <w:szCs w:val="20"/>
      </w:rPr>
      <w:t>2-1-</w:t>
    </w:r>
    <w:r>
      <w:rPr>
        <w:rFonts w:ascii="宋体" w:hAnsi="宋体"/>
        <w:szCs w:val="20"/>
      </w:rPr>
      <w:fldChar w:fldCharType="begin"/>
    </w:r>
    <w:r>
      <w:rPr>
        <w:rStyle w:val="17"/>
        <w:rFonts w:ascii="宋体" w:hAnsi="宋体"/>
        <w:szCs w:val="20"/>
      </w:rPr>
      <w:instrText xml:space="preserve"> PAGE </w:instrText>
    </w:r>
    <w:r>
      <w:rPr>
        <w:rFonts w:ascii="宋体" w:hAnsi="宋体"/>
        <w:szCs w:val="20"/>
      </w:rPr>
      <w:fldChar w:fldCharType="separate"/>
    </w:r>
    <w:r>
      <w:rPr>
        <w:rStyle w:val="17"/>
        <w:rFonts w:ascii="宋体" w:hAnsi="宋体"/>
        <w:szCs w:val="20"/>
      </w:rPr>
      <w:t>28</w:t>
    </w:r>
    <w:r>
      <w:rPr>
        <w:rFonts w:ascii="宋体" w:hAnsi="宋体"/>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14CFB">
    <w:pPr>
      <w:pStyle w:val="8"/>
      <w:tabs>
        <w:tab w:val="right" w:pos="8460"/>
        <w:tab w:val="clear" w:pos="8306"/>
      </w:tabs>
      <w:ind w:right="-89" w:firstLine="420"/>
      <w:jc w:val="center"/>
      <w:rPr>
        <w:rFonts w:ascii="宋体" w:hAnsi="宋体"/>
      </w:rPr>
    </w:pPr>
    <w:r>
      <w:rPr>
        <w:rFonts w:ascii="宋体" w:hAnsi="宋体"/>
        <w:szCs w:val="20"/>
      </w:rPr>
      <w:t xml:space="preserve"> 3-</w:t>
    </w:r>
    <w:r>
      <w:rPr>
        <w:rFonts w:ascii="宋体" w:hAnsi="宋体"/>
        <w:szCs w:val="20"/>
      </w:rPr>
      <w:fldChar w:fldCharType="begin"/>
    </w:r>
    <w:r>
      <w:rPr>
        <w:rStyle w:val="17"/>
        <w:rFonts w:ascii="宋体" w:hAnsi="宋体"/>
        <w:szCs w:val="20"/>
      </w:rPr>
      <w:instrText xml:space="preserve"> PAGE </w:instrText>
    </w:r>
    <w:r>
      <w:rPr>
        <w:rFonts w:ascii="宋体" w:hAnsi="宋体"/>
        <w:szCs w:val="20"/>
      </w:rPr>
      <w:fldChar w:fldCharType="separate"/>
    </w:r>
    <w:r>
      <w:rPr>
        <w:rStyle w:val="17"/>
        <w:rFonts w:ascii="宋体" w:hAnsi="宋体"/>
        <w:szCs w:val="20"/>
      </w:rPr>
      <w:t>4</w:t>
    </w:r>
    <w:r>
      <w:rPr>
        <w:rFonts w:ascii="宋体" w:hAnsi="宋体"/>
        <w:szCs w:val="20"/>
      </w:rPr>
      <w:fldChar w:fldCharType="end"/>
    </w:r>
    <w:r>
      <w:rPr>
        <w:rFonts w:ascii="宋体" w:hAnsi="宋体"/>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D2107C">
    <w:pPr>
      <w:pStyle w:val="8"/>
      <w:tabs>
        <w:tab w:val="right" w:pos="8460"/>
        <w:tab w:val="clear" w:pos="8306"/>
      </w:tabs>
      <w:ind w:right="-89" w:firstLine="420"/>
      <w:jc w:val="center"/>
      <w:rPr>
        <w:rFonts w:ascii="宋体" w:hAnsi="宋体"/>
      </w:rPr>
    </w:pPr>
    <w:r>
      <w:rPr>
        <w:rFonts w:ascii="宋体" w:hAnsi="宋体"/>
        <w:szCs w:val="20"/>
      </w:rPr>
      <w:t xml:space="preserve"> </w:t>
    </w:r>
    <w:r>
      <w:rPr>
        <w:rFonts w:hint="eastAsia" w:ascii="宋体" w:hAnsi="宋体"/>
        <w:szCs w:val="20"/>
      </w:rPr>
      <w:t>4</w:t>
    </w:r>
    <w:r>
      <w:rPr>
        <w:rFonts w:ascii="宋体" w:hAnsi="宋体"/>
        <w:szCs w:val="20"/>
      </w:rPr>
      <w:t>-</w:t>
    </w:r>
    <w:r>
      <w:rPr>
        <w:rFonts w:ascii="宋体" w:hAnsi="宋体"/>
        <w:szCs w:val="20"/>
      </w:rPr>
      <w:fldChar w:fldCharType="begin"/>
    </w:r>
    <w:r>
      <w:rPr>
        <w:rStyle w:val="17"/>
        <w:rFonts w:ascii="宋体" w:hAnsi="宋体"/>
        <w:szCs w:val="20"/>
      </w:rPr>
      <w:instrText xml:space="preserve"> PAGE </w:instrText>
    </w:r>
    <w:r>
      <w:rPr>
        <w:rFonts w:ascii="宋体" w:hAnsi="宋体"/>
        <w:szCs w:val="20"/>
      </w:rPr>
      <w:fldChar w:fldCharType="separate"/>
    </w:r>
    <w:r>
      <w:rPr>
        <w:rStyle w:val="17"/>
        <w:rFonts w:ascii="宋体" w:hAnsi="宋体"/>
        <w:szCs w:val="20"/>
      </w:rPr>
      <w:t>5</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59987F">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86E43">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20BBA"/>
    <w:multiLevelType w:val="singleLevel"/>
    <w:tmpl w:val="84D20BBA"/>
    <w:lvl w:ilvl="0" w:tentative="0">
      <w:start w:val="2"/>
      <w:numFmt w:val="decimal"/>
      <w:suff w:val="nothing"/>
      <w:lvlText w:val="%1、"/>
      <w:lvlJc w:val="left"/>
    </w:lvl>
  </w:abstractNum>
  <w:abstractNum w:abstractNumId="1">
    <w:nsid w:val="F9BCF26C"/>
    <w:multiLevelType w:val="singleLevel"/>
    <w:tmpl w:val="F9BCF26C"/>
    <w:lvl w:ilvl="0" w:tentative="0">
      <w:start w:val="1"/>
      <w:numFmt w:val="chineseCounting"/>
      <w:suff w:val="nothing"/>
      <w:lvlText w:val="%1、"/>
      <w:lvlJc w:val="left"/>
      <w:rPr>
        <w:rFonts w:hint="eastAsia"/>
      </w:rPr>
    </w:lvl>
  </w:abstractNum>
  <w:abstractNum w:abstractNumId="2">
    <w:nsid w:val="25C22B40"/>
    <w:multiLevelType w:val="multilevel"/>
    <w:tmpl w:val="25C22B40"/>
    <w:lvl w:ilvl="0" w:tentative="0">
      <w:start w:val="1"/>
      <w:numFmt w:val="japaneseCounting"/>
      <w:lvlText w:val="%1、"/>
      <w:lvlJc w:val="left"/>
      <w:pPr>
        <w:tabs>
          <w:tab w:val="left" w:pos="480"/>
        </w:tabs>
        <w:ind w:left="480" w:hanging="48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0NWY5YjE3NGYzMmZkYTI2NTFkNWYyOGEwODRiNzgifQ=="/>
  </w:docVars>
  <w:rsids>
    <w:rsidRoot w:val="00000000"/>
    <w:rsid w:val="2FAE1C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5">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2">
    <w:name w:val="Normal Indent"/>
    <w:basedOn w:val="1"/>
    <w:link w:val="20"/>
    <w:qFormat/>
    <w:uiPriority w:val="0"/>
    <w:pPr>
      <w:ind w:firstLine="420"/>
    </w:pPr>
    <w:rPr>
      <w:rFonts w:ascii="Times New Roman" w:hAnsi="Times New Roman"/>
      <w:szCs w:val="20"/>
    </w:rPr>
  </w:style>
  <w:style w:type="paragraph" w:styleId="3">
    <w:name w:val="Body Text"/>
    <w:basedOn w:val="1"/>
    <w:next w:val="1"/>
    <w:link w:val="2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4">
    <w:name w:val="Body Text Indent"/>
    <w:basedOn w:val="1"/>
    <w:next w:val="1"/>
    <w:qFormat/>
    <w:uiPriority w:val="0"/>
    <w:pPr>
      <w:ind w:left="420" w:leftChars="200"/>
    </w:pPr>
  </w:style>
  <w:style w:type="paragraph" w:styleId="5">
    <w:name w:val="Plain Text"/>
    <w:basedOn w:val="1"/>
    <w:link w:val="22"/>
    <w:qFormat/>
    <w:uiPriority w:val="0"/>
    <w:rPr>
      <w:rFonts w:ascii="宋体" w:hAnsi="Courier New"/>
      <w:szCs w:val="20"/>
    </w:rPr>
  </w:style>
  <w:style w:type="paragraph" w:styleId="6">
    <w:name w:val="Body Text Indent 2"/>
    <w:basedOn w:val="1"/>
    <w:link w:val="23"/>
    <w:qFormat/>
    <w:uiPriority w:val="0"/>
    <w:pPr>
      <w:spacing w:after="120" w:line="480" w:lineRule="auto"/>
      <w:ind w:left="420"/>
    </w:pPr>
    <w:rPr>
      <w:rFonts w:ascii="Times New Roman" w:hAnsi="Times New Roman"/>
      <w:szCs w:val="20"/>
    </w:rPr>
  </w:style>
  <w:style w:type="paragraph" w:styleId="7">
    <w:name w:val="Balloon Text"/>
    <w:basedOn w:val="1"/>
    <w:link w:val="24"/>
    <w:unhideWhenUsed/>
    <w:qFormat/>
    <w:uiPriority w:val="99"/>
    <w:rPr>
      <w:rFonts w:ascii="Times New Roman" w:hAnsi="Times New Roman"/>
      <w:sz w:val="18"/>
      <w:szCs w:val="18"/>
    </w:rPr>
  </w:style>
  <w:style w:type="paragraph" w:styleId="8">
    <w:name w:val="footer"/>
    <w:basedOn w:val="1"/>
    <w:link w:val="25"/>
    <w:unhideWhenUsed/>
    <w:qFormat/>
    <w:uiPriority w:val="0"/>
    <w:pPr>
      <w:tabs>
        <w:tab w:val="center" w:pos="4153"/>
        <w:tab w:val="right" w:pos="8306"/>
      </w:tabs>
      <w:snapToGrid w:val="0"/>
      <w:jc w:val="left"/>
    </w:pPr>
    <w:rPr>
      <w:sz w:val="18"/>
      <w:szCs w:val="18"/>
    </w:rPr>
  </w:style>
  <w:style w:type="paragraph" w:styleId="9">
    <w:name w:val="header"/>
    <w:basedOn w:val="1"/>
    <w:link w:val="26"/>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link w:val="27"/>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1">
    <w:name w:val="Normal (Web)"/>
    <w:basedOn w:val="1"/>
    <w:unhideWhenUsed/>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12">
    <w:name w:val="Body Text First Indent"/>
    <w:basedOn w:val="3"/>
    <w:qFormat/>
    <w:uiPriority w:val="0"/>
    <w:pPr>
      <w:spacing w:after="120"/>
      <w:ind w:firstLine="420" w:firstLineChars="100"/>
      <w:jc w:val="both"/>
    </w:pPr>
    <w:rPr>
      <w:rFonts w:ascii="Times New Roman" w:hAnsi="Times New Roman" w:eastAsia="宋体"/>
      <w:b w:val="0"/>
      <w:bCs w:val="0"/>
      <w:kern w:val="2"/>
      <w:sz w:val="21"/>
      <w:szCs w:val="24"/>
    </w:rPr>
  </w:style>
  <w:style w:type="paragraph" w:styleId="13">
    <w:name w:val="Body Text First Indent 2"/>
    <w:basedOn w:val="4"/>
    <w:next w:val="1"/>
    <w:qFormat/>
    <w:uiPriority w:val="0"/>
    <w:pPr>
      <w:ind w:firstLine="420" w:firstLineChars="200"/>
    </w:pPr>
  </w:style>
  <w:style w:type="character" w:styleId="16">
    <w:name w:val="Strong"/>
    <w:basedOn w:val="15"/>
    <w:qFormat/>
    <w:uiPriority w:val="22"/>
    <w:rPr>
      <w:rFonts w:ascii="Times New Roman" w:hAnsi="Times New Roman" w:eastAsia="宋体" w:cs="Times New Roman"/>
      <w:b/>
      <w:bCs/>
    </w:rPr>
  </w:style>
  <w:style w:type="character" w:styleId="17">
    <w:name w:val="page number"/>
    <w:basedOn w:val="15"/>
    <w:qFormat/>
    <w:uiPriority w:val="0"/>
    <w:rPr>
      <w:rFonts w:ascii="Times New Roman" w:hAnsi="Times New Roman" w:eastAsia="宋体" w:cs="Times New Roman"/>
    </w:rPr>
  </w:style>
  <w:style w:type="character" w:styleId="18">
    <w:name w:val="Emphasis"/>
    <w:basedOn w:val="15"/>
    <w:qFormat/>
    <w:uiPriority w:val="20"/>
    <w:rPr>
      <w:rFonts w:ascii="Times New Roman" w:hAnsi="Times New Roman" w:eastAsia="宋体" w:cs="Times New Roman"/>
      <w:i/>
      <w:iCs/>
    </w:rPr>
  </w:style>
  <w:style w:type="character" w:styleId="19">
    <w:name w:val="Hyperlink"/>
    <w:basedOn w:val="15"/>
    <w:unhideWhenUsed/>
    <w:qFormat/>
    <w:uiPriority w:val="0"/>
    <w:rPr>
      <w:rFonts w:ascii="Times New Roman" w:hAnsi="Times New Roman" w:eastAsia="宋体" w:cs="Times New Roman"/>
      <w:color w:val="0000FF"/>
      <w:u w:val="single"/>
    </w:rPr>
  </w:style>
  <w:style w:type="character" w:customStyle="1" w:styleId="20">
    <w:name w:val="正文缩进 Char"/>
    <w:basedOn w:val="15"/>
    <w:link w:val="2"/>
    <w:qFormat/>
    <w:locked/>
    <w:uiPriority w:val="0"/>
    <w:rPr>
      <w:rFonts w:ascii="Times New Roman" w:hAnsi="Times New Roman" w:eastAsiaTheme="minorEastAsia" w:cstheme="minorBidi"/>
      <w:szCs w:val="20"/>
    </w:rPr>
  </w:style>
  <w:style w:type="character" w:customStyle="1" w:styleId="21">
    <w:name w:val="正文文本 Char"/>
    <w:basedOn w:val="15"/>
    <w:link w:val="3"/>
    <w:qFormat/>
    <w:uiPriority w:val="0"/>
    <w:rPr>
      <w:rFonts w:ascii="幼圆" w:hAnsi="新宋体" w:eastAsia="幼圆" w:cstheme="minorBidi"/>
      <w:b/>
      <w:bCs/>
      <w:sz w:val="84"/>
      <w:szCs w:val="20"/>
      <w14:shadow w14:blurRad="50800" w14:dist="38100" w14:dir="2700000" w14:sx="100000" w14:sy="100000" w14:kx="0" w14:ky="0" w14:algn="tl">
        <w14:srgbClr w14:val="000000">
          <w14:alpha w14:val="60000"/>
        </w14:srgbClr>
      </w14:shadow>
    </w:rPr>
  </w:style>
  <w:style w:type="character" w:customStyle="1" w:styleId="22">
    <w:name w:val="纯文本 Char1"/>
    <w:basedOn w:val="15"/>
    <w:link w:val="5"/>
    <w:qFormat/>
    <w:uiPriority w:val="0"/>
    <w:rPr>
      <w:rFonts w:ascii="宋体" w:hAnsi="Courier New" w:eastAsiaTheme="minorEastAsia" w:cstheme="minorBidi"/>
      <w:szCs w:val="20"/>
    </w:rPr>
  </w:style>
  <w:style w:type="character" w:customStyle="1" w:styleId="23">
    <w:name w:val="正文文本缩进 2 Char"/>
    <w:basedOn w:val="15"/>
    <w:link w:val="6"/>
    <w:qFormat/>
    <w:uiPriority w:val="0"/>
    <w:rPr>
      <w:rFonts w:ascii="Times New Roman" w:hAnsi="Times New Roman" w:eastAsiaTheme="minorEastAsia" w:cstheme="minorBidi"/>
      <w:szCs w:val="20"/>
    </w:rPr>
  </w:style>
  <w:style w:type="character" w:customStyle="1" w:styleId="24">
    <w:name w:val="批注框文本 Char"/>
    <w:basedOn w:val="15"/>
    <w:link w:val="7"/>
    <w:semiHidden/>
    <w:qFormat/>
    <w:uiPriority w:val="99"/>
    <w:rPr>
      <w:rFonts w:ascii="Times New Roman" w:hAnsi="Times New Roman" w:eastAsiaTheme="minorEastAsia" w:cstheme="minorBidi"/>
      <w:sz w:val="18"/>
      <w:szCs w:val="18"/>
    </w:rPr>
  </w:style>
  <w:style w:type="character" w:customStyle="1" w:styleId="25">
    <w:name w:val="页脚 Char"/>
    <w:basedOn w:val="15"/>
    <w:link w:val="8"/>
    <w:qFormat/>
    <w:uiPriority w:val="0"/>
    <w:rPr>
      <w:rFonts w:asciiTheme="minorHAnsi" w:hAnsiTheme="minorHAnsi" w:eastAsiaTheme="minorEastAsia" w:cstheme="minorBidi"/>
      <w:sz w:val="18"/>
      <w:szCs w:val="18"/>
    </w:rPr>
  </w:style>
  <w:style w:type="character" w:customStyle="1" w:styleId="26">
    <w:name w:val="页眉 Char"/>
    <w:basedOn w:val="15"/>
    <w:link w:val="9"/>
    <w:qFormat/>
    <w:uiPriority w:val="0"/>
    <w:rPr>
      <w:rFonts w:asciiTheme="minorHAnsi" w:hAnsiTheme="minorHAnsi" w:eastAsiaTheme="minorEastAsia" w:cstheme="minorBidi"/>
      <w:sz w:val="18"/>
      <w:szCs w:val="18"/>
    </w:rPr>
  </w:style>
  <w:style w:type="character" w:customStyle="1" w:styleId="27">
    <w:name w:val="HTML 预设格式 Char"/>
    <w:basedOn w:val="15"/>
    <w:link w:val="10"/>
    <w:semiHidden/>
    <w:qFormat/>
    <w:uiPriority w:val="99"/>
    <w:rPr>
      <w:rFonts w:ascii="宋体" w:hAnsi="宋体" w:cs="宋体" w:eastAsiaTheme="minorEastAsia"/>
      <w:kern w:val="0"/>
      <w:sz w:val="24"/>
      <w:szCs w:val="24"/>
    </w:rPr>
  </w:style>
  <w:style w:type="character" w:customStyle="1" w:styleId="28">
    <w:name w:val="纯文本 Char"/>
    <w:basedOn w:val="15"/>
    <w:qFormat/>
    <w:uiPriority w:val="0"/>
    <w:rPr>
      <w:rFonts w:ascii="宋体" w:hAnsi="Courier New" w:eastAsia="宋体" w:cs="Courier New"/>
      <w:kern w:val="2"/>
      <w:sz w:val="21"/>
      <w:szCs w:val="21"/>
    </w:rPr>
  </w:style>
  <w:style w:type="character" w:customStyle="1" w:styleId="29">
    <w:name w:val="sp_dash"/>
    <w:basedOn w:val="15"/>
    <w:qFormat/>
    <w:uiPriority w:val="0"/>
    <w:rPr>
      <w:rFonts w:ascii="Times New Roman" w:hAnsi="Times New Roman" w:eastAsia="宋体" w:cs="Times New Roman"/>
    </w:rPr>
  </w:style>
  <w:style w:type="character" w:customStyle="1" w:styleId="30">
    <w:name w:val="apple-converted-space"/>
    <w:basedOn w:val="15"/>
    <w:qFormat/>
    <w:uiPriority w:val="0"/>
    <w:rPr>
      <w:rFonts w:ascii="Times New Roman" w:hAnsi="Times New Roman" w:eastAsia="宋体" w:cs="Times New Roman"/>
    </w:rPr>
  </w:style>
  <w:style w:type="character" w:customStyle="1" w:styleId="31">
    <w:name w:val="prc_air"/>
    <w:basedOn w:val="15"/>
    <w:qFormat/>
    <w:uiPriority w:val="0"/>
    <w:rPr>
      <w:rFonts w:ascii="Times New Roman" w:hAnsi="Times New Roman" w:eastAsia="宋体" w:cs="Times New Roman"/>
    </w:rPr>
  </w:style>
  <w:style w:type="paragraph" w:customStyle="1" w:styleId="32">
    <w:name w:val="p_airpor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3">
    <w:name w:val="p_ct"/>
    <w:basedOn w:val="1"/>
    <w:qFormat/>
    <w:uiPriority w:val="0"/>
    <w:pPr>
      <w:widowControl/>
      <w:spacing w:before="100" w:beforeAutospacing="1" w:after="100" w:afterAutospacing="1"/>
      <w:jc w:val="left"/>
    </w:pPr>
    <w:rPr>
      <w:rFonts w:ascii="宋体" w:hAnsi="宋体" w:cs="宋体"/>
      <w:kern w:val="0"/>
      <w:sz w:val="24"/>
      <w:szCs w:val="24"/>
    </w:rPr>
  </w:style>
  <w:style w:type="paragraph" w:styleId="34">
    <w:name w:val="List Paragraph"/>
    <w:basedOn w:val="1"/>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35">
    <w:name w:val="p_dat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6">
    <w:name w:val="p_rtax"/>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7">
    <w:name w:val="p_tim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8">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39">
    <w:name w:val="_Style 35"/>
    <w:unhideWhenUsed/>
    <w:qFormat/>
    <w:uiPriority w:val="99"/>
    <w:rPr>
      <w:rFonts w:ascii="Times New Roman" w:hAnsi="Times New Roman" w:eastAsia="宋体" w:cs="Times New Roman"/>
      <w:kern w:val="2"/>
      <w:sz w:val="21"/>
      <w:szCs w:val="22"/>
      <w:lang w:val="en-US" w:eastAsia="zh-CN" w:bidi="ar-SA"/>
    </w:rPr>
  </w:style>
  <w:style w:type="paragraph" w:customStyle="1" w:styleId="40">
    <w:name w:val="p0"/>
    <w:basedOn w:val="1"/>
    <w:qFormat/>
    <w:uiPriority w:val="0"/>
    <w:pPr>
      <w:keepNext w:val="0"/>
      <w:keepLines w:val="0"/>
      <w:widowControl/>
      <w:suppressLineNumbers w:val="0"/>
      <w:spacing w:before="0" w:beforeAutospacing="0" w:after="0" w:afterAutospacing="0"/>
      <w:ind w:left="0" w:right="0"/>
      <w:jc w:val="both"/>
    </w:pPr>
    <w:rPr>
      <w:rFonts w:hint="default" w:ascii="Times New Roman" w:hAnsi="Times New Roman" w:eastAsia="宋体" w:cs="Times New Roman"/>
      <w:kern w:val="0"/>
      <w:sz w:val="21"/>
      <w:szCs w:val="21"/>
      <w:lang w:val="en-US" w:eastAsia="zh-CN" w:bidi="ar"/>
    </w:rPr>
  </w:style>
  <w:style w:type="character" w:customStyle="1" w:styleId="41">
    <w:name w:val="font51"/>
    <w:basedOn w:val="15"/>
    <w:qFormat/>
    <w:uiPriority w:val="0"/>
    <w:rPr>
      <w:rFonts w:hint="eastAsia" w:ascii="宋体" w:hAnsi="宋体" w:eastAsia="宋体" w:cs="宋体"/>
      <w:b/>
      <w:bCs/>
      <w:color w:val="FF0000"/>
      <w:sz w:val="22"/>
      <w:szCs w:val="22"/>
      <w:u w:val="none"/>
    </w:rPr>
  </w:style>
  <w:style w:type="character" w:customStyle="1" w:styleId="42">
    <w:name w:val="font11"/>
    <w:basedOn w:val="15"/>
    <w:qFormat/>
    <w:uiPriority w:val="0"/>
    <w:rPr>
      <w:rFonts w:hint="default" w:ascii="Arial" w:hAnsi="Arial" w:eastAsia="宋体" w:cs="Arial"/>
      <w:b/>
      <w:bCs/>
      <w:color w:val="FF0000"/>
      <w:sz w:val="22"/>
      <w:szCs w:val="22"/>
      <w:u w:val="none"/>
    </w:rPr>
  </w:style>
  <w:style w:type="character" w:customStyle="1" w:styleId="43">
    <w:name w:val="font61"/>
    <w:basedOn w:val="15"/>
    <w:qFormat/>
    <w:uiPriority w:val="0"/>
    <w:rPr>
      <w:rFonts w:hint="eastAsia" w:ascii="宋体" w:hAnsi="宋体" w:eastAsia="宋体" w:cs="宋体"/>
      <w:color w:val="333333"/>
      <w:sz w:val="22"/>
      <w:szCs w:val="22"/>
      <w:u w:val="none"/>
    </w:rPr>
  </w:style>
  <w:style w:type="character" w:customStyle="1" w:styleId="44">
    <w:name w:val="font71"/>
    <w:basedOn w:val="15"/>
    <w:qFormat/>
    <w:uiPriority w:val="0"/>
    <w:rPr>
      <w:rFonts w:hint="default" w:ascii="Arial" w:hAnsi="Arial" w:eastAsia="宋体" w:cs="Arial"/>
      <w:color w:val="333333"/>
      <w:sz w:val="22"/>
      <w:szCs w:val="22"/>
      <w:u w:val="none"/>
    </w:rPr>
  </w:style>
  <w:style w:type="character" w:customStyle="1" w:styleId="45">
    <w:name w:val="font31"/>
    <w:basedOn w:val="15"/>
    <w:qFormat/>
    <w:uiPriority w:val="0"/>
    <w:rPr>
      <w:rFonts w:hint="eastAsia" w:ascii="黑体" w:hAnsi="宋体" w:eastAsia="黑体" w:cs="黑体"/>
      <w:color w:val="333333"/>
      <w:sz w:val="22"/>
      <w:szCs w:val="22"/>
      <w:u w:val="none"/>
    </w:rPr>
  </w:style>
  <w:style w:type="character" w:customStyle="1" w:styleId="46">
    <w:name w:val="font41"/>
    <w:basedOn w:val="15"/>
    <w:qFormat/>
    <w:uiPriority w:val="0"/>
    <w:rPr>
      <w:rFonts w:hint="eastAsia" w:ascii="黑体" w:hAnsi="宋体" w:eastAsia="黑体" w:cs="黑体"/>
      <w:color w:val="1F1F20"/>
      <w:sz w:val="22"/>
      <w:szCs w:val="22"/>
      <w:u w:val="none"/>
    </w:rPr>
  </w:style>
  <w:style w:type="character" w:customStyle="1" w:styleId="47">
    <w:name w:val="font81"/>
    <w:basedOn w:val="15"/>
    <w:qFormat/>
    <w:uiPriority w:val="0"/>
    <w:rPr>
      <w:rFonts w:hint="default" w:ascii="Arial" w:hAnsi="Arial" w:eastAsia="宋体" w:cs="Arial"/>
      <w:color w:val="333333"/>
      <w:sz w:val="22"/>
      <w:szCs w:val="22"/>
      <w:u w:val="none"/>
    </w:rPr>
  </w:style>
  <w:style w:type="character" w:customStyle="1" w:styleId="48">
    <w:name w:val="font91"/>
    <w:basedOn w:val="15"/>
    <w:qFormat/>
    <w:uiPriority w:val="0"/>
    <w:rPr>
      <w:rFonts w:hint="eastAsia" w:ascii="黑体" w:hAnsi="宋体" w:eastAsia="黑体" w:cs="黑体"/>
      <w:color w:val="333333"/>
      <w:sz w:val="22"/>
      <w:szCs w:val="22"/>
      <w:u w:val="none"/>
    </w:rPr>
  </w:style>
  <w:style w:type="character" w:customStyle="1" w:styleId="49">
    <w:name w:val="font21"/>
    <w:basedOn w:val="15"/>
    <w:qFormat/>
    <w:uiPriority w:val="0"/>
    <w:rPr>
      <w:rFonts w:hint="default" w:ascii="Arial" w:hAnsi="Arial" w:eastAsia="宋体" w:cs="Arial"/>
      <w:color w:val="333333"/>
      <w:sz w:val="22"/>
      <w:szCs w:val="22"/>
      <w:u w:val="none"/>
    </w:rPr>
  </w:style>
  <w:style w:type="character" w:customStyle="1" w:styleId="50">
    <w:name w:val="10"/>
    <w:basedOn w:val="15"/>
    <w:qFormat/>
    <w:uiPriority w:val="0"/>
    <w:rPr>
      <w:rFonts w:hint="default" w:ascii="Times New Roman" w:hAnsi="Times New Roman" w:eastAsia="宋体" w:cs="Times New Roman"/>
    </w:rPr>
  </w:style>
  <w:style w:type="character" w:customStyle="1" w:styleId="51">
    <w:name w:val="15"/>
    <w:basedOn w:val="15"/>
    <w:qFormat/>
    <w:uiPriority w:val="0"/>
    <w:rPr>
      <w:rFonts w:hint="default" w:ascii="Times New Roman" w:hAnsi="Times New Roman"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70</Pages>
  <Words>44704</Words>
  <Characters>46829</Characters>
  <Lines>1</Lines>
  <Paragraphs>1</Paragraphs>
  <TotalTime>2</TotalTime>
  <ScaleCrop>false</ScaleCrop>
  <LinksUpToDate>false</LinksUpToDate>
  <CharactersWithSpaces>47501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2015-01-04T20:40:00Z</dcterms:created>
  <dc:creator>黄超群</dc:creator>
  <cp:lastModifiedBy>WPS_1528123779</cp:lastModifiedBy>
  <dcterms:modified xsi:type="dcterms:W3CDTF">2024-07-12T06:30:07Z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8EFEE975E8284D67AF2ED2E3D876E723</vt:lpwstr>
  </property>
</Properties>
</file>